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20D13B" w14:textId="77A82D8D" w:rsidR="00AB4BBF" w:rsidRDefault="00C11CC2">
      <w:pPr>
        <w:spacing w:before="0" w:after="0" w:line="240" w:lineRule="auto"/>
        <w:ind w:firstLine="0"/>
        <w:jc w:val="left"/>
        <w:rPr>
          <w:rFonts w:cs="Calibri"/>
          <w:b/>
          <w:color w:val="D42E12"/>
          <w:lang w:val="pt-PT"/>
        </w:rPr>
      </w:pPr>
      <w:r>
        <w:rPr>
          <w:rFonts w:cs="Calibri"/>
          <w:b/>
          <w:noProof/>
          <w:color w:val="D42E12"/>
          <w:lang w:val="pt-PT"/>
        </w:rPr>
        <w:drawing>
          <wp:anchor distT="0" distB="0" distL="114300" distR="114300" simplePos="0" relativeHeight="251662336" behindDoc="0" locked="0" layoutInCell="1" allowOverlap="1" wp14:anchorId="4E6BD3DB" wp14:editId="26998F0C">
            <wp:simplePos x="0" y="0"/>
            <wp:positionH relativeFrom="margin">
              <wp:posOffset>-429260</wp:posOffset>
            </wp:positionH>
            <wp:positionV relativeFrom="margin">
              <wp:posOffset>-599440</wp:posOffset>
            </wp:positionV>
            <wp:extent cx="1645285" cy="933450"/>
            <wp:effectExtent l="0" t="0" r="0" b="0"/>
            <wp:wrapSquare wrapText="bothSides"/>
            <wp:docPr id="993082739" name="Imagen 2" descr="Texto, Logotip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082739" name="Imagen 2" descr="Texto, Logotipo&#10;&#10;Descripción generada automáticamente con confianza media"/>
                    <pic:cNvPicPr/>
                  </pic:nvPicPr>
                  <pic:blipFill>
                    <a:blip r:embed="rId11"/>
                    <a:stretch>
                      <a:fillRect/>
                    </a:stretch>
                  </pic:blipFill>
                  <pic:spPr>
                    <a:xfrm>
                      <a:off x="0" y="0"/>
                      <a:ext cx="1645285" cy="933450"/>
                    </a:xfrm>
                    <a:prstGeom prst="rect">
                      <a:avLst/>
                    </a:prstGeom>
                  </pic:spPr>
                </pic:pic>
              </a:graphicData>
            </a:graphic>
            <wp14:sizeRelH relativeFrom="margin">
              <wp14:pctWidth>0</wp14:pctWidth>
            </wp14:sizeRelH>
            <wp14:sizeRelV relativeFrom="margin">
              <wp14:pctHeight>0</wp14:pctHeight>
            </wp14:sizeRelV>
          </wp:anchor>
        </w:drawing>
      </w:r>
    </w:p>
    <w:p w14:paraId="2A9C53C5" w14:textId="1E0D19EC" w:rsidR="00CD0CAD" w:rsidRPr="00FF7074" w:rsidRDefault="00CD0CAD" w:rsidP="00CD0CAD">
      <w:pPr>
        <w:ind w:right="278"/>
        <w:jc w:val="center"/>
        <w:rPr>
          <w:rFonts w:cs="Calibri"/>
          <w:b/>
          <w:color w:val="D42E12"/>
          <w:lang w:val="pt-PT"/>
        </w:rPr>
      </w:pPr>
    </w:p>
    <w:p w14:paraId="4A4679D1" w14:textId="77777777" w:rsidR="00CD0CAD" w:rsidRPr="00FF7074" w:rsidRDefault="00CD0CAD" w:rsidP="00CD0CAD">
      <w:pPr>
        <w:ind w:right="278"/>
        <w:jc w:val="center"/>
        <w:rPr>
          <w:rFonts w:cs="Calibri"/>
          <w:b/>
          <w:color w:val="D42E12"/>
          <w:lang w:val="pt-PT"/>
        </w:rPr>
      </w:pPr>
    </w:p>
    <w:p w14:paraId="0CBC2B2F" w14:textId="77777777" w:rsidR="00CD0CAD" w:rsidRPr="00FF7074" w:rsidRDefault="00CD0CAD" w:rsidP="00CD0CAD">
      <w:pPr>
        <w:ind w:right="278" w:firstLine="708"/>
        <w:rPr>
          <w:rFonts w:cs="Calibri"/>
          <w:lang w:val="pt-PT"/>
        </w:rPr>
      </w:pPr>
    </w:p>
    <w:p w14:paraId="29D15EE6" w14:textId="77777777" w:rsidR="00CD0CAD" w:rsidRPr="00FF7074" w:rsidRDefault="00CD0CAD" w:rsidP="00CD0CAD">
      <w:pPr>
        <w:ind w:right="278"/>
        <w:rPr>
          <w:rFonts w:cs="Calibri"/>
          <w:lang w:val="pt-PT"/>
        </w:rPr>
      </w:pPr>
      <w:r w:rsidRPr="00FF7074">
        <w:rPr>
          <w:noProof/>
          <w:lang w:val="pt-PT"/>
        </w:rPr>
        <w:drawing>
          <wp:anchor distT="0" distB="0" distL="114300" distR="114300" simplePos="0" relativeHeight="251657216" behindDoc="0" locked="0" layoutInCell="1" allowOverlap="1" wp14:anchorId="5E67CF00" wp14:editId="4F7D0A97">
            <wp:simplePos x="0" y="0"/>
            <wp:positionH relativeFrom="margin">
              <wp:align>center</wp:align>
            </wp:positionH>
            <wp:positionV relativeFrom="paragraph">
              <wp:posOffset>281940</wp:posOffset>
            </wp:positionV>
            <wp:extent cx="5342255" cy="2012067"/>
            <wp:effectExtent l="0" t="0" r="0" b="0"/>
            <wp:wrapNone/>
            <wp:docPr id="1393872235" name="Imagen 1393872235" descr="Novo Conselho de Administração da ANI inicia funções | A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ovo Conselho de Administração da ANI inicia funções | ANI"/>
                    <pic:cNvPicPr>
                      <a:picLocks noChangeAspect="1" noChangeArrowheads="1"/>
                    </pic:cNvPicPr>
                  </pic:nvPicPr>
                  <pic:blipFill rotWithShape="1">
                    <a:blip r:embed="rId12">
                      <a:extLst>
                        <a:ext uri="{28A0092B-C50C-407E-A947-70E740481C1C}">
                          <a14:useLocalDpi xmlns:a14="http://schemas.microsoft.com/office/drawing/2010/main" val="0"/>
                        </a:ext>
                      </a:extLst>
                    </a:blip>
                    <a:srcRect t="11724" b="12983"/>
                    <a:stretch/>
                  </pic:blipFill>
                  <pic:spPr bwMode="auto">
                    <a:xfrm>
                      <a:off x="0" y="0"/>
                      <a:ext cx="5342255" cy="201206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0327991" w14:textId="77777777" w:rsidR="00CD0CAD" w:rsidRPr="00FF7074" w:rsidRDefault="00CD0CAD" w:rsidP="00CD0CAD">
      <w:pPr>
        <w:ind w:right="278" w:firstLine="0"/>
        <w:rPr>
          <w:rFonts w:cs="Calibri"/>
          <w:lang w:val="pt-PT"/>
        </w:rPr>
      </w:pPr>
    </w:p>
    <w:p w14:paraId="0B6E8B9E" w14:textId="77777777" w:rsidR="00CD0CAD" w:rsidRPr="00FF7074" w:rsidRDefault="00CD0CAD" w:rsidP="00CD0CAD">
      <w:pPr>
        <w:ind w:right="278"/>
        <w:rPr>
          <w:rFonts w:cs="Calibri"/>
          <w:lang w:val="pt-PT"/>
        </w:rPr>
      </w:pPr>
    </w:p>
    <w:p w14:paraId="2AEEDB01" w14:textId="77777777" w:rsidR="00CD0CAD" w:rsidRPr="00FF7074" w:rsidRDefault="00CD0CAD" w:rsidP="00CD0CAD">
      <w:pPr>
        <w:ind w:right="278"/>
        <w:rPr>
          <w:rFonts w:cs="Calibri"/>
          <w:lang w:val="pt-PT"/>
        </w:rPr>
      </w:pPr>
    </w:p>
    <w:p w14:paraId="28548E74" w14:textId="77777777" w:rsidR="00CD0CAD" w:rsidRPr="00FF7074" w:rsidRDefault="00CD0CAD" w:rsidP="00CD0CAD">
      <w:pPr>
        <w:ind w:right="278"/>
        <w:rPr>
          <w:rFonts w:cs="Calibri"/>
          <w:lang w:val="pt-PT"/>
        </w:rPr>
      </w:pPr>
    </w:p>
    <w:p w14:paraId="4EE9D0DB" w14:textId="77777777" w:rsidR="00CD0CAD" w:rsidRPr="00FF7074" w:rsidRDefault="00CD0CAD" w:rsidP="00CD0CAD">
      <w:pPr>
        <w:ind w:right="278"/>
        <w:rPr>
          <w:rFonts w:cs="Calibri"/>
          <w:lang w:val="pt-PT"/>
        </w:rPr>
      </w:pPr>
    </w:p>
    <w:p w14:paraId="7AFE3DCB" w14:textId="77777777" w:rsidR="00CD0CAD" w:rsidRPr="00FF7074" w:rsidRDefault="00CD0CAD" w:rsidP="00CD0CAD">
      <w:pPr>
        <w:ind w:right="278"/>
        <w:rPr>
          <w:rFonts w:cs="Calibri"/>
          <w:lang w:val="pt-PT"/>
        </w:rPr>
      </w:pPr>
    </w:p>
    <w:p w14:paraId="06958598" w14:textId="77777777" w:rsidR="00CD0CAD" w:rsidRPr="00FF7074" w:rsidRDefault="00CD0CAD" w:rsidP="00CD0CAD">
      <w:pPr>
        <w:ind w:right="278"/>
        <w:rPr>
          <w:rFonts w:cs="Calibri"/>
          <w:lang w:val="pt-PT"/>
        </w:rPr>
      </w:pPr>
    </w:p>
    <w:p w14:paraId="3132BA9D" w14:textId="77777777" w:rsidR="00CD0CAD" w:rsidRPr="00FF7074" w:rsidRDefault="00CD0CAD" w:rsidP="00CD0CAD">
      <w:pPr>
        <w:ind w:right="278"/>
        <w:rPr>
          <w:rFonts w:cs="Calibri"/>
          <w:lang w:val="pt-PT"/>
        </w:rPr>
      </w:pPr>
    </w:p>
    <w:p w14:paraId="022DDAD4" w14:textId="77777777" w:rsidR="00CD0CAD" w:rsidRPr="00FF7074" w:rsidRDefault="00CD0CAD" w:rsidP="00CD0CAD">
      <w:pPr>
        <w:ind w:right="278"/>
        <w:rPr>
          <w:rFonts w:cs="Calibri"/>
          <w:lang w:val="pt-PT"/>
        </w:rPr>
      </w:pPr>
      <w:r>
        <w:rPr>
          <w:noProof/>
        </w:rPr>
        <mc:AlternateContent>
          <mc:Choice Requires="wps">
            <w:drawing>
              <wp:anchor distT="0" distB="0" distL="114300" distR="114300" simplePos="0" relativeHeight="251661312" behindDoc="0" locked="0" layoutInCell="1" allowOverlap="1" wp14:anchorId="0B0C29A9" wp14:editId="092DE1B7">
                <wp:simplePos x="0" y="0"/>
                <wp:positionH relativeFrom="margin">
                  <wp:posOffset>0</wp:posOffset>
                </wp:positionH>
                <wp:positionV relativeFrom="paragraph">
                  <wp:posOffset>253332</wp:posOffset>
                </wp:positionV>
                <wp:extent cx="5951855" cy="1207754"/>
                <wp:effectExtent l="0" t="0" r="0" b="0"/>
                <wp:wrapNone/>
                <wp:docPr id="1358377567" name="CuadroTexto 8"/>
                <wp:cNvGraphicFramePr/>
                <a:graphic xmlns:a="http://schemas.openxmlformats.org/drawingml/2006/main">
                  <a:graphicData uri="http://schemas.microsoft.com/office/word/2010/wordprocessingShape">
                    <wps:wsp>
                      <wps:cNvSpPr txBox="1"/>
                      <wps:spPr>
                        <a:xfrm>
                          <a:off x="0" y="0"/>
                          <a:ext cx="5951855" cy="1207754"/>
                        </a:xfrm>
                        <a:prstGeom prst="rect">
                          <a:avLst/>
                        </a:prstGeom>
                        <a:noFill/>
                      </wps:spPr>
                      <wps:txbx>
                        <w:txbxContent>
                          <w:p w14:paraId="604DBC96" w14:textId="2876616F" w:rsidR="00CD0CAD" w:rsidRPr="00AF3AD0" w:rsidRDefault="00CD0CAD" w:rsidP="00CD0CAD">
                            <w:pPr>
                              <w:spacing w:line="276" w:lineRule="auto"/>
                              <w:ind w:firstLine="0"/>
                              <w:jc w:val="left"/>
                              <w:textAlignment w:val="baseline"/>
                              <w:rPr>
                                <w:rFonts w:asciiTheme="majorHAnsi" w:eastAsia="Source Sans Pro SemiBold" w:hAnsiTheme="majorHAnsi"/>
                                <w:b/>
                                <w:bCs/>
                                <w:color w:val="707279"/>
                                <w:kern w:val="24"/>
                                <w:position w:val="1"/>
                                <w:sz w:val="56"/>
                                <w:szCs w:val="56"/>
                                <w:lang w:val="pt-PT"/>
                              </w:rPr>
                            </w:pPr>
                            <w:r w:rsidRPr="00AF3AD0">
                              <w:rPr>
                                <w:rFonts w:asciiTheme="majorHAnsi" w:eastAsia="Source Sans Pro SemiBold" w:hAnsiTheme="majorHAnsi"/>
                                <w:b/>
                                <w:bCs/>
                                <w:color w:val="707279"/>
                                <w:kern w:val="24"/>
                                <w:position w:val="1"/>
                                <w:sz w:val="56"/>
                                <w:szCs w:val="56"/>
                                <w:lang w:val="pt-PT"/>
                              </w:rPr>
                              <w:t>BOOKLET</w:t>
                            </w:r>
                          </w:p>
                          <w:p w14:paraId="2148B8FC" w14:textId="77777777" w:rsidR="00CD0CAD" w:rsidRPr="00AF3AD0" w:rsidRDefault="00CD0CAD" w:rsidP="00CD0CAD">
                            <w:pPr>
                              <w:spacing w:line="276" w:lineRule="auto"/>
                              <w:ind w:firstLine="0"/>
                              <w:jc w:val="left"/>
                              <w:textAlignment w:val="baseline"/>
                              <w:rPr>
                                <w:rFonts w:asciiTheme="minorHAnsi" w:eastAsia="Source Sans Pro SemiBold" w:hAnsiTheme="minorHAnsi"/>
                                <w:b/>
                                <w:bCs/>
                                <w:color w:val="01B288"/>
                                <w:kern w:val="24"/>
                                <w:position w:val="1"/>
                                <w:sz w:val="52"/>
                                <w:szCs w:val="52"/>
                                <w:lang w:val="pt-PT"/>
                              </w:rPr>
                            </w:pPr>
                            <w:r w:rsidRPr="00AF3AD0">
                              <w:rPr>
                                <w:rFonts w:asciiTheme="minorHAnsi" w:eastAsia="Source Sans Pro SemiBold" w:hAnsiTheme="minorHAnsi"/>
                                <w:b/>
                                <w:bCs/>
                                <w:color w:val="01B288"/>
                                <w:kern w:val="24"/>
                                <w:position w:val="1"/>
                                <w:sz w:val="52"/>
                                <w:szCs w:val="52"/>
                                <w:lang w:val="pt-PT"/>
                              </w:rPr>
                              <w:t>Transferência de Tecnologia</w:t>
                            </w:r>
                          </w:p>
                          <w:p w14:paraId="7DED6400" w14:textId="77777777" w:rsidR="00CD0CAD" w:rsidRPr="00A10E6E" w:rsidRDefault="00CD0CAD" w:rsidP="00CD0CAD">
                            <w:pPr>
                              <w:pStyle w:val="SemEspaamento"/>
                              <w:spacing w:line="276" w:lineRule="auto"/>
                              <w:ind w:left="284" w:right="141"/>
                              <w:rPr>
                                <w:rFonts w:ascii="Verdana" w:eastAsiaTheme="minorHAnsi" w:hAnsi="Verdana" w:cs="Calibri"/>
                                <w:b/>
                                <w:bCs/>
                                <w:color w:val="707279"/>
                                <w:sz w:val="40"/>
                                <w:szCs w:val="40"/>
                                <w:lang w:val="pt-PT"/>
                              </w:rPr>
                            </w:pPr>
                          </w:p>
                          <w:p w14:paraId="172246A5" w14:textId="77777777" w:rsidR="00CD0CAD" w:rsidRPr="00A10E6E" w:rsidRDefault="00CD0CAD" w:rsidP="00CD0CAD">
                            <w:pPr>
                              <w:jc w:val="left"/>
                              <w:textAlignment w:val="baseline"/>
                              <w:rPr>
                                <w:rFonts w:eastAsia="Source Sans Pro SemiBold"/>
                                <w:b/>
                                <w:bCs/>
                                <w:color w:val="707279"/>
                                <w:kern w:val="24"/>
                                <w:position w:val="1"/>
                                <w:sz w:val="72"/>
                                <w:szCs w:val="72"/>
                                <w:lang w:val="pt-PT"/>
                              </w:rPr>
                            </w:pPr>
                          </w:p>
                          <w:p w14:paraId="18FCD81F" w14:textId="77777777" w:rsidR="00CD0CAD" w:rsidRPr="00A10E6E" w:rsidRDefault="00CD0CAD" w:rsidP="00CD0CAD">
                            <w:pPr>
                              <w:jc w:val="left"/>
                              <w:textAlignment w:val="baseline"/>
                              <w:rPr>
                                <w:rFonts w:eastAsia="Source Sans Pro SemiBold"/>
                                <w:b/>
                                <w:bCs/>
                                <w:color w:val="707279"/>
                                <w:kern w:val="24"/>
                                <w:position w:val="1"/>
                                <w:sz w:val="72"/>
                                <w:szCs w:val="72"/>
                                <w:lang w:val="pt-PT"/>
                              </w:rPr>
                            </w:pPr>
                          </w:p>
                        </w:txbxContent>
                      </wps:txbx>
                      <wps:bodyPr wrap="square">
                        <a:noAutofit/>
                      </wps:bodyPr>
                    </wps:wsp>
                  </a:graphicData>
                </a:graphic>
                <wp14:sizeRelH relativeFrom="margin">
                  <wp14:pctWidth>0</wp14:pctWidth>
                </wp14:sizeRelH>
              </wp:anchor>
            </w:drawing>
          </mc:Choice>
          <mc:Fallback>
            <w:pict>
              <v:shapetype w14:anchorId="0B0C29A9" id="_x0000_t202" coordsize="21600,21600" o:spt="202" path="m,l,21600r21600,l21600,xe">
                <v:stroke joinstyle="miter"/>
                <v:path gradientshapeok="t" o:connecttype="rect"/>
              </v:shapetype>
              <v:shape id="CuadroTexto 8" o:spid="_x0000_s1026" type="#_x0000_t202" style="position:absolute;left:0;text-align:left;margin-left:0;margin-top:19.95pt;width:468.65pt;height:95.1pt;z-index:2516613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" filled="f" stroked="f">
                <v:textbox>
                  <w:txbxContent>
                    <w:p w14:paraId="604DBC96" w14:textId="2876616F" w:rsidR="00CD0CAD" w:rsidRPr="00AF3AD0" w:rsidRDefault="00CD0CAD" w:rsidP="00CD0CAD">
                      <w:pPr>
                        <w:spacing w:line="276" w:lineRule="auto"/>
                        <w:ind w:firstLine="0"/>
                        <w:jc w:val="left"/>
                        <w:textAlignment w:val="baseline"/>
                        <w:rPr>
                          <w:rFonts w:asciiTheme="majorHAnsi" w:eastAsia="Source Sans Pro SemiBold" w:hAnsiTheme="majorHAnsi"/>
                          <w:b/>
                          <w:bCs/>
                          <w:color w:val="707279"/>
                          <w:kern w:val="24"/>
                          <w:position w:val="1"/>
                          <w:sz w:val="56"/>
                          <w:szCs w:val="56"/>
                          <w:lang w:val="pt-PT"/>
                        </w:rPr>
                      </w:pPr>
                      <w:r w:rsidRPr="00AF3AD0">
                        <w:rPr>
                          <w:rFonts w:asciiTheme="majorHAnsi" w:eastAsia="Source Sans Pro SemiBold" w:hAnsiTheme="majorHAnsi"/>
                          <w:b/>
                          <w:bCs/>
                          <w:color w:val="707279"/>
                          <w:kern w:val="24"/>
                          <w:position w:val="1"/>
                          <w:sz w:val="56"/>
                          <w:szCs w:val="56"/>
                          <w:lang w:val="pt-PT"/>
                        </w:rPr>
                        <w:t>BOOKLET</w:t>
                      </w:r>
                    </w:p>
                    <w:p w14:paraId="2148B8FC" w14:textId="77777777" w:rsidR="00CD0CAD" w:rsidRPr="00AF3AD0" w:rsidRDefault="00CD0CAD" w:rsidP="00CD0CAD">
                      <w:pPr>
                        <w:spacing w:line="276" w:lineRule="auto"/>
                        <w:ind w:firstLine="0"/>
                        <w:jc w:val="left"/>
                        <w:textAlignment w:val="baseline"/>
                        <w:rPr>
                          <w:rFonts w:asciiTheme="minorHAnsi" w:eastAsia="Source Sans Pro SemiBold" w:hAnsiTheme="minorHAnsi"/>
                          <w:b/>
                          <w:bCs/>
                          <w:color w:val="01B288"/>
                          <w:kern w:val="24"/>
                          <w:position w:val="1"/>
                          <w:sz w:val="52"/>
                          <w:szCs w:val="52"/>
                          <w:lang w:val="pt-PT"/>
                        </w:rPr>
                      </w:pPr>
                      <w:r w:rsidRPr="00AF3AD0">
                        <w:rPr>
                          <w:rFonts w:asciiTheme="minorHAnsi" w:eastAsia="Source Sans Pro SemiBold" w:hAnsiTheme="minorHAnsi"/>
                          <w:b/>
                          <w:bCs/>
                          <w:color w:val="01B288"/>
                          <w:kern w:val="24"/>
                          <w:position w:val="1"/>
                          <w:sz w:val="52"/>
                          <w:szCs w:val="52"/>
                          <w:lang w:val="pt-PT"/>
                        </w:rPr>
                        <w:t>Transferência de Tecnologia</w:t>
                      </w:r>
                    </w:p>
                    <w:p w14:paraId="7DED6400" w14:textId="77777777" w:rsidR="00CD0CAD" w:rsidRPr="00A10E6E" w:rsidRDefault="00CD0CAD" w:rsidP="00CD0CAD">
                      <w:pPr>
                        <w:pStyle w:val="SemEspaamento"/>
                        <w:spacing w:line="276" w:lineRule="auto"/>
                        <w:ind w:left="284" w:right="141"/>
                        <w:rPr>
                          <w:rFonts w:ascii="Verdana" w:eastAsiaTheme="minorHAnsi" w:hAnsi="Verdana" w:cs="Calibri"/>
                          <w:b/>
                          <w:bCs/>
                          <w:color w:val="707279"/>
                          <w:sz w:val="40"/>
                          <w:szCs w:val="40"/>
                          <w:lang w:val="pt-PT"/>
                        </w:rPr>
                      </w:pPr>
                    </w:p>
                    <w:p w14:paraId="172246A5" w14:textId="77777777" w:rsidR="00CD0CAD" w:rsidRPr="00A10E6E" w:rsidRDefault="00CD0CAD" w:rsidP="00CD0CAD">
                      <w:pPr>
                        <w:jc w:val="left"/>
                        <w:textAlignment w:val="baseline"/>
                        <w:rPr>
                          <w:rFonts w:eastAsia="Source Sans Pro SemiBold"/>
                          <w:b/>
                          <w:bCs/>
                          <w:color w:val="707279"/>
                          <w:kern w:val="24"/>
                          <w:position w:val="1"/>
                          <w:sz w:val="72"/>
                          <w:szCs w:val="72"/>
                          <w:lang w:val="pt-PT"/>
                        </w:rPr>
                      </w:pPr>
                    </w:p>
                    <w:p w14:paraId="18FCD81F" w14:textId="77777777" w:rsidR="00CD0CAD" w:rsidRPr="00A10E6E" w:rsidRDefault="00CD0CAD" w:rsidP="00CD0CAD">
                      <w:pPr>
                        <w:jc w:val="left"/>
                        <w:textAlignment w:val="baseline"/>
                        <w:rPr>
                          <w:rFonts w:eastAsia="Source Sans Pro SemiBold"/>
                          <w:b/>
                          <w:bCs/>
                          <w:color w:val="707279"/>
                          <w:kern w:val="24"/>
                          <w:position w:val="1"/>
                          <w:sz w:val="72"/>
                          <w:szCs w:val="72"/>
                          <w:lang w:val="pt-PT"/>
                        </w:rPr>
                      </w:pPr>
                    </w:p>
                  </w:txbxContent>
                </v:textbox>
                <w10:wrap anchorx="margin"/>
              </v:shape>
            </w:pict>
          </mc:Fallback>
        </mc:AlternateContent>
      </w:r>
    </w:p>
    <w:p w14:paraId="34309690" w14:textId="77777777" w:rsidR="00CD0CAD" w:rsidRPr="00FF7074" w:rsidRDefault="00CD0CAD" w:rsidP="00CD0CAD">
      <w:pPr>
        <w:ind w:right="278"/>
        <w:rPr>
          <w:rFonts w:cs="Calibri"/>
          <w:lang w:val="pt-PT"/>
        </w:rPr>
      </w:pPr>
    </w:p>
    <w:p w14:paraId="470CD7D9" w14:textId="77777777" w:rsidR="00CD0CAD" w:rsidRPr="00FF7074" w:rsidRDefault="00CD0CAD" w:rsidP="00CD0CAD">
      <w:pPr>
        <w:ind w:right="278"/>
        <w:rPr>
          <w:rFonts w:cs="Calibri"/>
          <w:lang w:val="pt-PT"/>
        </w:rPr>
      </w:pPr>
    </w:p>
    <w:p w14:paraId="52C17FE4" w14:textId="77777777" w:rsidR="00CD0CAD" w:rsidRPr="00FF7074" w:rsidRDefault="00CD0CAD" w:rsidP="00CD0CAD">
      <w:pPr>
        <w:ind w:right="278"/>
        <w:rPr>
          <w:rFonts w:cs="Calibri"/>
          <w:lang w:val="pt-PT"/>
        </w:rPr>
      </w:pPr>
    </w:p>
    <w:p w14:paraId="6454226C" w14:textId="1CBC1F97" w:rsidR="00CD0CAD" w:rsidRPr="00FF7074" w:rsidRDefault="00CD0CAD" w:rsidP="00CD0CAD">
      <w:pPr>
        <w:ind w:right="278"/>
        <w:rPr>
          <w:rFonts w:cs="Calibri"/>
          <w:lang w:val="pt-PT"/>
        </w:rPr>
      </w:pPr>
    </w:p>
    <w:p w14:paraId="0AB965D9" w14:textId="77777777" w:rsidR="00CD0CAD" w:rsidRPr="00FF7074" w:rsidRDefault="00CD0CAD" w:rsidP="00CD0CAD">
      <w:pPr>
        <w:ind w:right="278"/>
        <w:rPr>
          <w:rFonts w:cs="Calibri"/>
          <w:lang w:val="pt-PT"/>
        </w:rPr>
      </w:pPr>
    </w:p>
    <w:p w14:paraId="0584FCCB" w14:textId="6480E08A" w:rsidR="00CD0CAD" w:rsidRPr="00FF7074" w:rsidRDefault="00CD0CAD" w:rsidP="00CD0CAD">
      <w:pPr>
        <w:ind w:right="278"/>
        <w:rPr>
          <w:rFonts w:cs="Calibri"/>
          <w:lang w:val="pt-PT"/>
        </w:rPr>
      </w:pPr>
    </w:p>
    <w:p w14:paraId="59E2ABBF" w14:textId="379FC175" w:rsidR="00CD0CAD" w:rsidRPr="00FF7074" w:rsidRDefault="00CD0CAD" w:rsidP="00CD0CAD">
      <w:pPr>
        <w:ind w:right="278"/>
        <w:rPr>
          <w:rFonts w:cs="Calibri"/>
          <w:lang w:val="pt-PT"/>
        </w:rPr>
      </w:pPr>
    </w:p>
    <w:p w14:paraId="67E39A79" w14:textId="11ACC97C" w:rsidR="00CD0CAD" w:rsidRPr="00FF7074" w:rsidRDefault="00CD0CAD" w:rsidP="00CD0CAD">
      <w:pPr>
        <w:spacing w:after="160" w:line="256" w:lineRule="auto"/>
        <w:rPr>
          <w:rFonts w:asciiTheme="minorHAnsi" w:hAnsiTheme="minorHAnsi" w:cs="Arial"/>
          <w:i/>
          <w:iCs/>
          <w:color w:val="0033FF"/>
          <w:sz w:val="36"/>
          <w:szCs w:val="36"/>
          <w:lang w:val="pt-PT" w:eastAsia="en-US"/>
        </w:rPr>
      </w:pPr>
    </w:p>
    <w:p w14:paraId="21A9F6DD" w14:textId="107A416C" w:rsidR="00CD0CAD" w:rsidRPr="00FF7074" w:rsidRDefault="00C11CC2" w:rsidP="00CD0CAD">
      <w:pPr>
        <w:spacing w:after="160" w:line="256" w:lineRule="auto"/>
        <w:rPr>
          <w:rFonts w:asciiTheme="minorHAnsi" w:hAnsiTheme="minorHAnsi" w:cs="Arial"/>
          <w:i/>
          <w:iCs/>
          <w:color w:val="0033FF"/>
          <w:sz w:val="36"/>
          <w:szCs w:val="36"/>
          <w:lang w:val="pt-PT" w:eastAsia="en-US"/>
        </w:rPr>
      </w:pPr>
      <w:r>
        <w:rPr>
          <w:rFonts w:asciiTheme="minorHAnsi" w:hAnsiTheme="minorHAnsi" w:cs="Arial"/>
          <w:noProof/>
          <w:color w:val="4B4F54" w:themeColor="text1"/>
          <w:sz w:val="32"/>
          <w:szCs w:val="32"/>
          <w:lang w:val="pt-PT" w:eastAsia="en-US"/>
        </w:rPr>
        <mc:AlternateContent>
          <mc:Choice Requires="wps">
            <w:drawing>
              <wp:anchor distT="0" distB="0" distL="114300" distR="114300" simplePos="0" relativeHeight="251659264" behindDoc="0" locked="0" layoutInCell="1" allowOverlap="1" wp14:anchorId="0B6AF0C2" wp14:editId="51874FB1">
                <wp:simplePos x="0" y="0"/>
                <wp:positionH relativeFrom="margin">
                  <wp:posOffset>-890805</wp:posOffset>
                </wp:positionH>
                <wp:positionV relativeFrom="paragraph">
                  <wp:posOffset>241267</wp:posOffset>
                </wp:positionV>
                <wp:extent cx="7584708" cy="1295400"/>
                <wp:effectExtent l="0" t="0" r="16510" b="19050"/>
                <wp:wrapNone/>
                <wp:docPr id="1155997645" name="Cuadro de texto 1"/>
                <wp:cNvGraphicFramePr/>
                <a:graphic xmlns:a="http://schemas.openxmlformats.org/drawingml/2006/main">
                  <a:graphicData uri="http://schemas.microsoft.com/office/word/2010/wordprocessingShape">
                    <wps:wsp>
                      <wps:cNvSpPr txBox="1"/>
                      <wps:spPr>
                        <a:xfrm>
                          <a:off x="0" y="0"/>
                          <a:ext cx="7584708" cy="1295400"/>
                        </a:xfrm>
                        <a:prstGeom prst="rect">
                          <a:avLst/>
                        </a:prstGeom>
                        <a:solidFill>
                          <a:srgbClr val="404040"/>
                        </a:solidFill>
                        <a:ln w="6350">
                          <a:solidFill>
                            <a:prstClr val="black"/>
                          </a:solidFill>
                        </a:ln>
                      </wps:spPr>
                      <wps:txbx>
                        <w:txbxContent>
                          <w:p w14:paraId="7A159FB1" w14:textId="77777777" w:rsidR="00CD0CAD" w:rsidRDefault="00CD0CAD" w:rsidP="00CD0CA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6AF0C2" id="Cuadro de texto 1" o:spid="_x0000_s1027" type="#_x0000_t202" style="position:absolute;left:0;text-align:left;margin-left:-70.15pt;margin-top:19pt;width:597.2pt;height:102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" fillcolor="#404040" strokeweight=".5pt">
                <v:textbox>
                  <w:txbxContent>
                    <w:p w14:paraId="7A159FB1" w14:textId="77777777" w:rsidR="00CD0CAD" w:rsidRDefault="00CD0CAD" w:rsidP="00CD0CAD"/>
                  </w:txbxContent>
                </v:textbox>
                <w10:wrap anchorx="margin"/>
              </v:shape>
            </w:pict>
          </mc:Fallback>
        </mc:AlternateContent>
      </w:r>
      <w:r w:rsidRPr="008664A3">
        <w:rPr>
          <w:rFonts w:asciiTheme="minorHAnsi" w:hAnsiTheme="minorHAnsi" w:cs="Arial"/>
          <w:i/>
          <w:iCs/>
          <w:noProof/>
          <w:color w:val="0033FF"/>
          <w:sz w:val="36"/>
          <w:szCs w:val="36"/>
          <w:lang w:eastAsia="en-US"/>
        </w:rPr>
        <mc:AlternateContent>
          <mc:Choice Requires="wps">
            <w:drawing>
              <wp:anchor distT="0" distB="0" distL="114300" distR="114300" simplePos="0" relativeHeight="251660288" behindDoc="0" locked="0" layoutInCell="1" allowOverlap="1" wp14:anchorId="1EBAA499" wp14:editId="1D3168D6">
                <wp:simplePos x="0" y="0"/>
                <wp:positionH relativeFrom="column">
                  <wp:posOffset>-605790</wp:posOffset>
                </wp:positionH>
                <wp:positionV relativeFrom="paragraph">
                  <wp:posOffset>275590</wp:posOffset>
                </wp:positionV>
                <wp:extent cx="5713095" cy="1219200"/>
                <wp:effectExtent l="0" t="0" r="0" b="0"/>
                <wp:wrapNone/>
                <wp:docPr id="20" name="CuadroTexto 19">
                  <a:extLst xmlns:a="http://schemas.openxmlformats.org/drawingml/2006/main">
                    <a:ext uri="{FF2B5EF4-FFF2-40B4-BE49-F238E27FC236}">
                      <a16:creationId xmlns:a16="http://schemas.microsoft.com/office/drawing/2014/main" id="{99DE3E8A-9304-177A-6068-360A8E4472B8}"/>
                    </a:ext>
                  </a:extLst>
                </wp:docPr>
                <wp:cNvGraphicFramePr/>
                <a:graphic xmlns:a="http://schemas.openxmlformats.org/drawingml/2006/main">
                  <a:graphicData uri="http://schemas.microsoft.com/office/word/2010/wordprocessingShape">
                    <wps:wsp>
                      <wps:cNvSpPr txBox="1"/>
                      <wps:spPr>
                        <a:xfrm>
                          <a:off x="0" y="0"/>
                          <a:ext cx="5713095" cy="1219200"/>
                        </a:xfrm>
                        <a:prstGeom prst="rect">
                          <a:avLst/>
                        </a:prstGeom>
                      </wps:spPr>
                      <wps:txbx>
                        <w:txbxContent>
                          <w:p w14:paraId="36FBEF3C" w14:textId="77777777" w:rsidR="00CD0CAD" w:rsidRDefault="00CD0CAD" w:rsidP="00CD0CAD">
                            <w:pPr>
                              <w:spacing w:after="90" w:line="216" w:lineRule="auto"/>
                              <w:rPr>
                                <w:rFonts w:ascii="Calibri Light" w:hAnsi="Calibri Light" w:cstheme="minorBidi"/>
                                <w:b/>
                                <w:bCs/>
                                <w:color w:val="7F7F7F"/>
                                <w:kern w:val="24"/>
                                <w:sz w:val="35"/>
                                <w:szCs w:val="35"/>
                                <w:lang w:val="en-US"/>
                                <w14:textFill>
                                  <w14:solidFill>
                                    <w14:srgbClr w14:val="7F7F7F">
                                      <w14:lumMod w14:val="50000"/>
                                      <w14:lumOff w14:val="50000"/>
                                    </w14:srgbClr>
                                  </w14:solidFill>
                                </w14:textFill>
                              </w:rPr>
                            </w:pPr>
                            <w:proofErr w:type="spellStart"/>
                            <w:r>
                              <w:rPr>
                                <w:rFonts w:ascii="Calibri Light" w:hAnsi="Calibri Light" w:cstheme="minorBidi"/>
                                <w:b/>
                                <w:bCs/>
                                <w:color w:val="7F7F7F"/>
                                <w:kern w:val="24"/>
                                <w:sz w:val="35"/>
                                <w:szCs w:val="35"/>
                                <w:lang w:val="en-US"/>
                                <w14:textFill>
                                  <w14:solidFill>
                                    <w14:srgbClr w14:val="7F7F7F">
                                      <w14:lumMod w14:val="50000"/>
                                      <w14:lumOff w14:val="50000"/>
                                    </w14:srgbClr>
                                  </w14:solidFill>
                                </w14:textFill>
                              </w:rPr>
                              <w:t>Junho</w:t>
                            </w:r>
                            <w:proofErr w:type="spellEnd"/>
                            <w:r>
                              <w:rPr>
                                <w:rFonts w:ascii="Calibri Light" w:hAnsi="Calibri Light" w:cstheme="minorBidi"/>
                                <w:b/>
                                <w:bCs/>
                                <w:color w:val="7F7F7F"/>
                                <w:kern w:val="24"/>
                                <w:sz w:val="35"/>
                                <w:szCs w:val="35"/>
                                <w:lang w:val="en-US"/>
                                <w14:textFill>
                                  <w14:solidFill>
                                    <w14:srgbClr w14:val="7F7F7F">
                                      <w14:lumMod w14:val="50000"/>
                                      <w14:lumOff w14:val="50000"/>
                                    </w14:srgbClr>
                                  </w14:solidFill>
                                </w14:textFill>
                              </w:rPr>
                              <w:t xml:space="preserve"> de 2023</w:t>
                            </w:r>
                          </w:p>
                        </w:txbxContent>
                      </wps:txbx>
                      <wps:bodyPr vert="horz" lIns="68652" tIns="34326" rIns="68652" bIns="34326" rtlCol="0" anchor="ctr">
                        <a:normAutofit/>
                      </wps:bodyPr>
                    </wps:wsp>
                  </a:graphicData>
                </a:graphic>
              </wp:anchor>
            </w:drawing>
          </mc:Choice>
          <mc:Fallback>
            <w:pict>
              <v:shape w14:anchorId="1EBAA499" id="CuadroTexto 19" o:spid="_x0000_s1028" type="#_x0000_t202" style="position:absolute;left:0;text-align:left;margin-left:-47.7pt;margin-top:21.7pt;width:449.85pt;height:96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" filled="f" stroked="f">
                <v:textbox inset="1.907mm,.9535mm,1.907mm,.9535mm">
                  <w:txbxContent>
                    <w:p w14:paraId="36FBEF3C" w14:textId="77777777" w:rsidR="00CD0CAD" w:rsidRDefault="00CD0CAD" w:rsidP="00CD0CAD">
                      <w:pPr>
                        <w:spacing w:after="90" w:line="216" w:lineRule="auto"/>
                        <w:rPr>
                          <w:rFonts w:ascii="Calibri Light" w:hAnsi="Calibri Light" w:cstheme="minorBidi"/>
                          <w:b/>
                          <w:bCs/>
                          <w:color w:val="7F7F7F"/>
                          <w:kern w:val="24"/>
                          <w:sz w:val="35"/>
                          <w:szCs w:val="35"/>
                          <w:lang w:val="en-US"/>
                          <w14:textFill>
                            <w14:solidFill>
                              <w14:srgbClr w14:val="7F7F7F">
                                <w14:lumMod w14:val="50000"/>
                                <w14:lumOff w14:val="50000"/>
                              </w14:srgbClr>
                            </w14:solidFill>
                          </w14:textFill>
                        </w:rPr>
                      </w:pPr>
                      <w:proofErr w:type="spellStart"/>
                      <w:r>
                        <w:rPr>
                          <w:rFonts w:ascii="Calibri Light" w:hAnsi="Calibri Light" w:cstheme="minorBidi"/>
                          <w:b/>
                          <w:bCs/>
                          <w:color w:val="7F7F7F"/>
                          <w:kern w:val="24"/>
                          <w:sz w:val="35"/>
                          <w:szCs w:val="35"/>
                          <w:lang w:val="en-US"/>
                          <w14:textFill>
                            <w14:solidFill>
                              <w14:srgbClr w14:val="7F7F7F">
                                <w14:lumMod w14:val="50000"/>
                                <w14:lumOff w14:val="50000"/>
                              </w14:srgbClr>
                            </w14:solidFill>
                          </w14:textFill>
                        </w:rPr>
                        <w:t>Junho</w:t>
                      </w:r>
                      <w:proofErr w:type="spellEnd"/>
                      <w:r>
                        <w:rPr>
                          <w:rFonts w:ascii="Calibri Light" w:hAnsi="Calibri Light" w:cstheme="minorBidi"/>
                          <w:b/>
                          <w:bCs/>
                          <w:color w:val="7F7F7F"/>
                          <w:kern w:val="24"/>
                          <w:sz w:val="35"/>
                          <w:szCs w:val="35"/>
                          <w:lang w:val="en-US"/>
                          <w14:textFill>
                            <w14:solidFill>
                              <w14:srgbClr w14:val="7F7F7F">
                                <w14:lumMod w14:val="50000"/>
                                <w14:lumOff w14:val="50000"/>
                              </w14:srgbClr>
                            </w14:solidFill>
                          </w14:textFill>
                        </w:rPr>
                        <w:t xml:space="preserve"> de 2023</w:t>
                      </w:r>
                    </w:p>
                  </w:txbxContent>
                </v:textbox>
              </v:shape>
            </w:pict>
          </mc:Fallback>
        </mc:AlternateContent>
      </w:r>
    </w:p>
    <w:p w14:paraId="10704D23" w14:textId="297AFEE5" w:rsidR="00CD0CAD" w:rsidRPr="00FF7074" w:rsidRDefault="00CD0CAD" w:rsidP="00CD0CAD">
      <w:pPr>
        <w:spacing w:after="160" w:line="256" w:lineRule="auto"/>
        <w:rPr>
          <w:rFonts w:asciiTheme="minorHAnsi" w:hAnsiTheme="minorHAnsi" w:cs="Arial"/>
          <w:color w:val="4B4F54" w:themeColor="text1"/>
          <w:sz w:val="32"/>
          <w:szCs w:val="32"/>
          <w:lang w:val="pt-PT" w:eastAsia="en-US"/>
        </w:rPr>
      </w:pPr>
      <w:r w:rsidRPr="00FF7074">
        <w:rPr>
          <w:rFonts w:asciiTheme="minorHAnsi" w:hAnsiTheme="minorHAnsi" w:cs="Arial"/>
          <w:color w:val="4B4F54" w:themeColor="text1"/>
          <w:sz w:val="32"/>
          <w:szCs w:val="32"/>
          <w:lang w:val="pt-PT" w:eastAsia="en-US"/>
        </w:rPr>
        <w:t xml:space="preserve"> </w:t>
      </w:r>
    </w:p>
    <w:p w14:paraId="3F4BEAD1" w14:textId="33AC5696" w:rsidR="00CD0CAD" w:rsidRPr="00FF7074" w:rsidRDefault="00CD0CAD" w:rsidP="00CD0CAD">
      <w:pPr>
        <w:spacing w:after="160" w:line="256" w:lineRule="auto"/>
        <w:rPr>
          <w:rFonts w:asciiTheme="minorHAnsi" w:hAnsiTheme="minorHAnsi" w:cs="Arial"/>
          <w:color w:val="4B4F54" w:themeColor="text1"/>
          <w:sz w:val="32"/>
          <w:szCs w:val="32"/>
          <w:lang w:val="pt-PT" w:eastAsia="en-US"/>
        </w:rPr>
      </w:pPr>
    </w:p>
    <w:p w14:paraId="5E7C291E" w14:textId="7C69B9EE" w:rsidR="00CD0CAD" w:rsidRPr="00FF7074" w:rsidRDefault="00CD0CAD" w:rsidP="00CD0CAD">
      <w:pPr>
        <w:spacing w:after="160" w:line="256" w:lineRule="auto"/>
        <w:rPr>
          <w:rFonts w:asciiTheme="minorHAnsi" w:hAnsiTheme="minorHAnsi" w:cs="Arial"/>
          <w:color w:val="4B4F54" w:themeColor="text1"/>
          <w:sz w:val="32"/>
          <w:szCs w:val="32"/>
          <w:lang w:val="pt-PT" w:eastAsia="en-US"/>
        </w:rPr>
      </w:pPr>
    </w:p>
    <w:p w14:paraId="5C4251E4" w14:textId="7F0EE9DA" w:rsidR="00CD0CAD" w:rsidRPr="00FF7074" w:rsidRDefault="00C11CC2" w:rsidP="00CD0CAD">
      <w:pPr>
        <w:ind w:firstLine="0"/>
        <w:rPr>
          <w:rFonts w:asciiTheme="minorHAnsi" w:hAnsiTheme="minorHAnsi" w:cstheme="minorHAnsi"/>
          <w:lang w:val="pt-PT"/>
        </w:rPr>
      </w:pPr>
      <w:r w:rsidRPr="008B6ACA">
        <w:rPr>
          <w:noProof/>
          <w:lang w:val="pt-PT"/>
        </w:rPr>
        <w:drawing>
          <wp:anchor distT="0" distB="0" distL="114300" distR="114300" simplePos="0" relativeHeight="251676672" behindDoc="0" locked="0" layoutInCell="1" allowOverlap="1" wp14:anchorId="72532FBA" wp14:editId="302EA120">
            <wp:simplePos x="0" y="0"/>
            <wp:positionH relativeFrom="page">
              <wp:posOffset>3809799</wp:posOffset>
            </wp:positionH>
            <wp:positionV relativeFrom="paragraph">
              <wp:posOffset>259715</wp:posOffset>
            </wp:positionV>
            <wp:extent cx="3390992" cy="709765"/>
            <wp:effectExtent l="0" t="0" r="0" b="0"/>
            <wp:wrapNone/>
            <wp:docPr id="348853118" name="Picture 348853118" descr="Logotipo&#10;&#10;Descripción generada automáticamente">
              <a:extLst xmlns:a="http://schemas.openxmlformats.org/drawingml/2006/main">
                <a:ext uri="{FF2B5EF4-FFF2-40B4-BE49-F238E27FC236}">
                  <a16:creationId xmlns:a16="http://schemas.microsoft.com/office/drawing/2014/main" id="{47312C43-D627-1A29-50BE-0080D0711C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Logotipo&#10;&#10;Descripción generada automáticamente">
                      <a:extLst>
                        <a:ext uri="{FF2B5EF4-FFF2-40B4-BE49-F238E27FC236}">
                          <a16:creationId xmlns:a16="http://schemas.microsoft.com/office/drawing/2014/main" id="{47312C43-D627-1A29-50BE-0080D0711C8F}"/>
                        </a:ext>
                      </a:extLst>
                    </pic:cNvPr>
                    <pic:cNvPicPr>
                      <a:picLocks noChangeAspect="1"/>
                    </pic:cNvPicPr>
                  </pic:nvPicPr>
                  <pic:blipFill>
                    <a:blip r:embed="rId13"/>
                    <a:stretch>
                      <a:fillRect/>
                    </a:stretch>
                  </pic:blipFill>
                  <pic:spPr>
                    <a:xfrm>
                      <a:off x="0" y="0"/>
                      <a:ext cx="3390992" cy="709765"/>
                    </a:xfrm>
                    <a:prstGeom prst="rect">
                      <a:avLst/>
                    </a:prstGeom>
                  </pic:spPr>
                </pic:pic>
              </a:graphicData>
            </a:graphic>
            <wp14:sizeRelH relativeFrom="margin">
              <wp14:pctWidth>0</wp14:pctWidth>
            </wp14:sizeRelH>
            <wp14:sizeRelV relativeFrom="margin">
              <wp14:pctHeight>0</wp14:pctHeight>
            </wp14:sizeRelV>
          </wp:anchor>
        </w:drawing>
      </w:r>
    </w:p>
    <w:p w14:paraId="774C8A8A" w14:textId="782FA378" w:rsidR="00CD0CAD" w:rsidRPr="00FF7074" w:rsidRDefault="00CD0CAD" w:rsidP="00CD0CAD">
      <w:pPr>
        <w:ind w:firstLine="0"/>
        <w:rPr>
          <w:rFonts w:asciiTheme="minorHAnsi" w:hAnsiTheme="minorHAnsi" w:cstheme="minorHAnsi"/>
          <w:lang w:val="pt-PT"/>
        </w:rPr>
      </w:pPr>
    </w:p>
    <w:p w14:paraId="57D341CA" w14:textId="54C8BCF8" w:rsidR="004274ED" w:rsidRPr="00FF7074" w:rsidRDefault="004274ED">
      <w:pPr>
        <w:ind w:right="278"/>
        <w:jc w:val="center"/>
        <w:rPr>
          <w:rFonts w:cs="Calibri"/>
          <w:b/>
          <w:color w:val="D42E12"/>
          <w:lang w:val="pt-PT"/>
        </w:rPr>
      </w:pPr>
    </w:p>
    <w:p w14:paraId="71AAD7DF" w14:textId="74847F44" w:rsidR="001D7E23" w:rsidRPr="00FF7074" w:rsidRDefault="001D7E23">
      <w:pPr>
        <w:ind w:right="278"/>
        <w:jc w:val="center"/>
        <w:rPr>
          <w:rFonts w:cs="Calibri"/>
          <w:b/>
          <w:color w:val="D42E12"/>
          <w:lang w:val="pt-PT"/>
        </w:rPr>
      </w:pPr>
    </w:p>
    <w:p w14:paraId="19F465B1" w14:textId="7F64173A" w:rsidR="00796FF0" w:rsidRDefault="00796FF0" w:rsidP="00E351AA">
      <w:pPr>
        <w:ind w:right="278"/>
        <w:rPr>
          <w:rFonts w:cs="Calibri"/>
          <w:lang w:val="pt-PT"/>
        </w:rPr>
      </w:pPr>
    </w:p>
    <w:p w14:paraId="0872F788" w14:textId="77777777" w:rsidR="009543F4" w:rsidRDefault="009543F4" w:rsidP="00E351AA">
      <w:pPr>
        <w:ind w:right="278"/>
        <w:rPr>
          <w:rFonts w:cs="Calibri"/>
          <w:lang w:val="pt-PT"/>
        </w:rPr>
      </w:pPr>
    </w:p>
    <w:p w14:paraId="282F00C7" w14:textId="77777777" w:rsidR="009543F4" w:rsidRDefault="009543F4" w:rsidP="00E351AA">
      <w:pPr>
        <w:ind w:right="278"/>
        <w:rPr>
          <w:rFonts w:cs="Calibri"/>
          <w:lang w:val="pt-PT"/>
        </w:rPr>
      </w:pPr>
    </w:p>
    <w:p w14:paraId="0E7D2BFA" w14:textId="77777777" w:rsidR="009543F4" w:rsidRDefault="009543F4" w:rsidP="00E351AA">
      <w:pPr>
        <w:ind w:right="278"/>
        <w:rPr>
          <w:rFonts w:cs="Calibri"/>
          <w:lang w:val="pt-PT"/>
        </w:rPr>
      </w:pPr>
    </w:p>
    <w:p w14:paraId="4C2BBEF0" w14:textId="77777777" w:rsidR="009543F4" w:rsidRDefault="009543F4" w:rsidP="00E351AA">
      <w:pPr>
        <w:ind w:right="278"/>
        <w:rPr>
          <w:rFonts w:cs="Calibri"/>
          <w:lang w:val="pt-PT"/>
        </w:rPr>
      </w:pPr>
    </w:p>
    <w:p w14:paraId="159F0287" w14:textId="77777777" w:rsidR="009543F4" w:rsidRDefault="009543F4" w:rsidP="00E351AA">
      <w:pPr>
        <w:ind w:right="278"/>
        <w:rPr>
          <w:rFonts w:cs="Calibri"/>
          <w:lang w:val="pt-PT"/>
        </w:rPr>
      </w:pPr>
    </w:p>
    <w:p w14:paraId="39E55823" w14:textId="77777777" w:rsidR="009543F4" w:rsidRDefault="009543F4" w:rsidP="00E351AA">
      <w:pPr>
        <w:ind w:right="278"/>
        <w:rPr>
          <w:rFonts w:cs="Calibri"/>
          <w:lang w:val="pt-PT"/>
        </w:rPr>
      </w:pPr>
    </w:p>
    <w:p w14:paraId="7F629D92" w14:textId="77777777" w:rsidR="001376F6" w:rsidRDefault="001376F6" w:rsidP="00E351AA">
      <w:pPr>
        <w:ind w:right="278"/>
        <w:rPr>
          <w:rFonts w:cs="Calibri"/>
          <w:lang w:val="pt-PT"/>
        </w:rPr>
      </w:pPr>
    </w:p>
    <w:p w14:paraId="1B6F67D3" w14:textId="77777777" w:rsidR="001376F6" w:rsidRDefault="001376F6" w:rsidP="00E351AA">
      <w:pPr>
        <w:ind w:right="278"/>
        <w:rPr>
          <w:rFonts w:cs="Calibri"/>
          <w:lang w:val="pt-PT"/>
        </w:rPr>
      </w:pPr>
    </w:p>
    <w:p w14:paraId="332D71E4" w14:textId="77777777" w:rsidR="001376F6" w:rsidRPr="00FF7074" w:rsidRDefault="001376F6" w:rsidP="00E351AA">
      <w:pPr>
        <w:ind w:right="278"/>
        <w:rPr>
          <w:rFonts w:cs="Calibri"/>
          <w:lang w:val="pt-PT"/>
        </w:rPr>
      </w:pPr>
    </w:p>
    <w:p w14:paraId="4FEDFA5C" w14:textId="2F7099A9" w:rsidR="00796FF0" w:rsidRPr="00FF7074" w:rsidRDefault="007E7F1B" w:rsidP="00E351AA">
      <w:pPr>
        <w:ind w:right="278"/>
        <w:rPr>
          <w:rFonts w:cs="Calibri"/>
          <w:lang w:val="pt-PT"/>
        </w:rPr>
      </w:pPr>
      <w:r w:rsidRPr="00F873C3">
        <w:rPr>
          <w:rFonts w:cs="Calibri"/>
          <w:noProof/>
        </w:rPr>
        <mc:AlternateContent>
          <mc:Choice Requires="wps">
            <w:drawing>
              <wp:anchor distT="0" distB="0" distL="114300" distR="114300" simplePos="0" relativeHeight="251665408" behindDoc="0" locked="0" layoutInCell="1" allowOverlap="1" wp14:anchorId="2181F806" wp14:editId="707D77B6">
                <wp:simplePos x="0" y="0"/>
                <wp:positionH relativeFrom="column">
                  <wp:posOffset>0</wp:posOffset>
                </wp:positionH>
                <wp:positionV relativeFrom="paragraph">
                  <wp:posOffset>270510</wp:posOffset>
                </wp:positionV>
                <wp:extent cx="530860" cy="109220"/>
                <wp:effectExtent l="0" t="0" r="2540" b="5080"/>
                <wp:wrapNone/>
                <wp:docPr id="1874922266" name="Rectángulo 8"/>
                <wp:cNvGraphicFramePr/>
                <a:graphic xmlns:a="http://schemas.openxmlformats.org/drawingml/2006/main">
                  <a:graphicData uri="http://schemas.microsoft.com/office/word/2010/wordprocessingShape">
                    <wps:wsp>
                      <wps:cNvSpPr/>
                      <wps:spPr>
                        <a:xfrm>
                          <a:off x="0" y="0"/>
                          <a:ext cx="530860" cy="109220"/>
                        </a:xfrm>
                        <a:prstGeom prst="rect">
                          <a:avLst/>
                        </a:prstGeom>
                        <a:solidFill>
                          <a:srgbClr val="FE585A"/>
                        </a:solidFill>
                        <a:ln w="12700" cap="flat" cmpd="sng" algn="ctr">
                          <a:noFill/>
                          <a:prstDash val="solid"/>
                          <a:miter lim="800000"/>
                        </a:ln>
                        <a:effectLst/>
                      </wps:spPr>
                      <wps:bodyPr rtlCol="0" anchor="ctr"/>
                    </wps:wsp>
                  </a:graphicData>
                </a:graphic>
              </wp:anchor>
            </w:drawing>
          </mc:Choice>
          <mc:Fallback>
            <w:pict>
              <v:rect w14:anchorId="4BDA6DAF" id="Rectángulo 8" o:spid="_x0000_s1026" style="position:absolute;margin-left:0;margin-top:21.3pt;width:41.8pt;height:8.6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" fillcolor="#fe585a" stroked="f" strokeweight="1pt"/>
            </w:pict>
          </mc:Fallback>
        </mc:AlternateContent>
      </w:r>
      <w:r w:rsidRPr="00F873C3">
        <w:rPr>
          <w:rFonts w:cs="Calibri"/>
          <w:noProof/>
        </w:rPr>
        <mc:AlternateContent>
          <mc:Choice Requires="wps">
            <w:drawing>
              <wp:anchor distT="0" distB="0" distL="114300" distR="114300" simplePos="0" relativeHeight="251664384" behindDoc="0" locked="0" layoutInCell="1" allowOverlap="1" wp14:anchorId="1329D92B" wp14:editId="4A27B5FD">
                <wp:simplePos x="0" y="0"/>
                <wp:positionH relativeFrom="column">
                  <wp:posOffset>588645</wp:posOffset>
                </wp:positionH>
                <wp:positionV relativeFrom="paragraph">
                  <wp:posOffset>27940</wp:posOffset>
                </wp:positionV>
                <wp:extent cx="5941695" cy="508000"/>
                <wp:effectExtent l="0" t="0" r="0" b="0"/>
                <wp:wrapNone/>
                <wp:docPr id="1901061822" name="Marcador de contenido 7"/>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5941695" cy="508000"/>
                        </a:xfrm>
                        <a:prstGeom prst="rect">
                          <a:avLst/>
                        </a:prstGeom>
                        <a:noFill/>
                      </wps:spPr>
                      <wps:txbx>
                        <w:txbxContent>
                          <w:p w14:paraId="4F913BFA" w14:textId="77777777" w:rsidR="007E7F1B" w:rsidRDefault="007E7F1B" w:rsidP="007E7F1B">
                            <w:pPr>
                              <w:spacing w:before="150" w:line="216" w:lineRule="auto"/>
                              <w:rPr>
                                <w:rFonts w:ascii="Georgia" w:eastAsia="Verdana" w:hAnsi="Georgia" w:cstheme="minorBidi"/>
                                <w:color w:val="01B288"/>
                                <w:kern w:val="24"/>
                                <w:sz w:val="60"/>
                                <w:szCs w:val="60"/>
                              </w:rPr>
                            </w:pPr>
                            <w:r>
                              <w:rPr>
                                <w:rFonts w:ascii="Georgia" w:eastAsia="Verdana" w:hAnsi="Georgia" w:cstheme="minorBidi"/>
                                <w:color w:val="01B288"/>
                                <w:kern w:val="24"/>
                                <w:sz w:val="60"/>
                                <w:szCs w:val="60"/>
                              </w:rPr>
                              <w:t>Ficha Técnica</w:t>
                            </w:r>
                          </w:p>
                        </w:txbxContent>
                      </wps:txbx>
                      <wps:bodyPr vert="horz" wrap="square" lIns="91440" tIns="45720" rIns="91440" bIns="45720" rtlCol="0">
                        <a:spAutoFit/>
                      </wps:bodyPr>
                    </wps:wsp>
                  </a:graphicData>
                </a:graphic>
              </wp:anchor>
            </w:drawing>
          </mc:Choice>
          <mc:Fallback>
            <w:pict>
              <v:shape w14:anchorId="1329D92B" id="Marcador de contenido 7" o:spid="_x0000_s1029" type="#_x0000_t202" style="position:absolute;left:0;text-align:left;margin-left:46.35pt;margin-top:2.2pt;width:467.85pt;height:40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" filled="f" stroked="f">
                <o:lock v:ext="edit" grouping="t"/>
                <v:textbox style="mso-fit-shape-to-text:t">
                  <w:txbxContent>
                    <w:p w14:paraId="4F913BFA" w14:textId="77777777" w:rsidR="007E7F1B" w:rsidRDefault="007E7F1B" w:rsidP="007E7F1B">
                      <w:pPr>
                        <w:spacing w:before="150" w:line="216" w:lineRule="auto"/>
                        <w:rPr>
                          <w:rFonts w:ascii="Georgia" w:eastAsia="Verdana" w:hAnsi="Georgia" w:cstheme="minorBidi"/>
                          <w:color w:val="01B288"/>
                          <w:kern w:val="24"/>
                          <w:sz w:val="60"/>
                          <w:szCs w:val="60"/>
                        </w:rPr>
                      </w:pPr>
                      <w:r>
                        <w:rPr>
                          <w:rFonts w:ascii="Georgia" w:eastAsia="Verdana" w:hAnsi="Georgia" w:cstheme="minorBidi"/>
                          <w:color w:val="01B288"/>
                          <w:kern w:val="24"/>
                          <w:sz w:val="60"/>
                          <w:szCs w:val="60"/>
                        </w:rPr>
                        <w:t>Ficha Técnica</w:t>
                      </w:r>
                    </w:p>
                  </w:txbxContent>
                </v:textbox>
              </v:shape>
            </w:pict>
          </mc:Fallback>
        </mc:AlternateContent>
      </w:r>
    </w:p>
    <w:p w14:paraId="77AA8B10" w14:textId="19D8E97F" w:rsidR="00796FF0" w:rsidRPr="00FF7074" w:rsidRDefault="00796FF0" w:rsidP="00E351AA">
      <w:pPr>
        <w:ind w:right="278"/>
        <w:rPr>
          <w:rFonts w:cs="Calibri"/>
          <w:lang w:val="pt-PT"/>
        </w:rPr>
      </w:pPr>
    </w:p>
    <w:p w14:paraId="64A5D760" w14:textId="0E88C169" w:rsidR="001D7E23" w:rsidRPr="00FF7074" w:rsidRDefault="001D7E23">
      <w:pPr>
        <w:ind w:right="278"/>
        <w:rPr>
          <w:rFonts w:cs="Calibri"/>
          <w:lang w:val="pt-PT"/>
        </w:rPr>
      </w:pPr>
    </w:p>
    <w:p w14:paraId="0AADEC68" w14:textId="77777777" w:rsidR="00412C2C" w:rsidRPr="007E7F1B" w:rsidRDefault="00412C2C" w:rsidP="00B27B3D">
      <w:pPr>
        <w:ind w:firstLine="0"/>
        <w:rPr>
          <w:rFonts w:asciiTheme="minorHAnsi" w:hAnsiTheme="minorHAnsi" w:cstheme="minorHAnsi"/>
          <w:sz w:val="28"/>
          <w:szCs w:val="28"/>
          <w:lang w:val="pt-PT"/>
        </w:rPr>
      </w:pPr>
      <w:bookmarkStart w:id="0" w:name="_Toc530046793"/>
      <w:bookmarkStart w:id="1" w:name="_Toc35631192"/>
      <w:bookmarkStart w:id="2" w:name="_Toc38887538"/>
      <w:bookmarkStart w:id="3" w:name="_Toc48318084"/>
      <w:bookmarkStart w:id="4" w:name="_Toc48577910"/>
      <w:bookmarkStart w:id="5" w:name="_Toc48581628"/>
      <w:bookmarkStart w:id="6" w:name="_Toc48667413"/>
      <w:bookmarkStart w:id="7" w:name="_Toc48667458"/>
      <w:bookmarkStart w:id="8" w:name="_Toc48667505"/>
      <w:bookmarkStart w:id="9" w:name="_Toc48669764"/>
      <w:bookmarkStart w:id="10" w:name="_Toc48747502"/>
      <w:bookmarkStart w:id="11" w:name="_Toc48755157"/>
      <w:bookmarkStart w:id="12" w:name="_Toc49780395"/>
      <w:bookmarkStart w:id="13" w:name="_Toc49783516"/>
      <w:bookmarkStart w:id="14" w:name="_Toc49783585"/>
      <w:bookmarkStart w:id="15" w:name="_Toc49784457"/>
      <w:bookmarkStart w:id="16" w:name="_Toc49785216"/>
      <w:bookmarkStart w:id="17" w:name="_Toc51161030"/>
      <w:bookmarkStart w:id="18" w:name="_Toc111538527"/>
    </w:p>
    <w:p w14:paraId="091E839D" w14:textId="6E0F8632" w:rsidR="00683978" w:rsidRPr="00C11CC2" w:rsidRDefault="00683978" w:rsidP="00B27B3D">
      <w:pPr>
        <w:ind w:firstLine="0"/>
        <w:rPr>
          <w:rFonts w:asciiTheme="minorHAnsi" w:hAnsiTheme="minorHAnsi" w:cstheme="minorHAnsi"/>
          <w:lang w:val="pt-PT"/>
        </w:rPr>
      </w:pPr>
      <w:r w:rsidRPr="00C11CC2">
        <w:rPr>
          <w:rFonts w:asciiTheme="minorHAnsi" w:hAnsiTheme="minorHAnsi" w:cstheme="minorHAnsi"/>
          <w:lang w:val="pt-PT"/>
        </w:rPr>
        <w:t xml:space="preserve">Cliente: </w:t>
      </w:r>
      <w:r w:rsidR="0017613F" w:rsidRPr="00C11CC2">
        <w:rPr>
          <w:rFonts w:asciiTheme="minorHAnsi" w:hAnsiTheme="minorHAnsi" w:cstheme="minorHAnsi"/>
          <w:lang w:val="pt-PT"/>
        </w:rPr>
        <w:tab/>
      </w:r>
      <w:r w:rsidR="009543F4">
        <w:rPr>
          <w:rFonts w:asciiTheme="minorHAnsi" w:hAnsiTheme="minorHAnsi" w:cstheme="minorHAnsi"/>
          <w:lang w:val="pt-PT"/>
        </w:rPr>
        <w:tab/>
      </w:r>
      <w:r w:rsidR="009543F4">
        <w:rPr>
          <w:rFonts w:asciiTheme="minorHAnsi" w:hAnsiTheme="minorHAnsi" w:cstheme="minorHAnsi"/>
          <w:lang w:val="pt-PT"/>
        </w:rPr>
        <w:tab/>
        <w:t xml:space="preserve">       </w:t>
      </w:r>
      <w:r w:rsidRPr="00C11CC2">
        <w:rPr>
          <w:rFonts w:asciiTheme="minorHAnsi" w:hAnsiTheme="minorHAnsi" w:cstheme="minorHAnsi"/>
          <w:lang w:val="pt-PT"/>
        </w:rPr>
        <w:t xml:space="preserve">ANI – Agência Nacional de </w:t>
      </w:r>
      <w:r w:rsidR="002E65F4" w:rsidRPr="00C11CC2">
        <w:rPr>
          <w:rFonts w:asciiTheme="minorHAnsi" w:hAnsiTheme="minorHAnsi" w:cstheme="minorHAnsi"/>
          <w:lang w:val="pt-PT"/>
        </w:rPr>
        <w:t>Inovação</w:t>
      </w:r>
    </w:p>
    <w:p w14:paraId="6F23635A" w14:textId="0C2170CA" w:rsidR="00DA5A0D" w:rsidRPr="00C11CC2" w:rsidRDefault="00DA5A0D" w:rsidP="00DA5A0D">
      <w:pPr>
        <w:spacing w:after="0"/>
        <w:ind w:firstLine="0"/>
        <w:rPr>
          <w:rFonts w:asciiTheme="minorHAnsi" w:hAnsiTheme="minorHAnsi" w:cstheme="minorHAnsi"/>
          <w:lang w:val="pt-PT"/>
        </w:rPr>
      </w:pPr>
      <w:r w:rsidRPr="00C11CC2">
        <w:rPr>
          <w:rFonts w:asciiTheme="minorHAnsi" w:hAnsiTheme="minorHAnsi" w:cstheme="minorHAnsi"/>
          <w:lang w:val="pt-PT"/>
        </w:rPr>
        <w:t xml:space="preserve">Programa: </w:t>
      </w:r>
      <w:r w:rsidRPr="00C11CC2">
        <w:rPr>
          <w:rFonts w:asciiTheme="minorHAnsi" w:hAnsiTheme="minorHAnsi" w:cstheme="minorHAnsi"/>
          <w:lang w:val="pt-PT"/>
        </w:rPr>
        <w:tab/>
      </w:r>
      <w:r w:rsidR="009543F4">
        <w:rPr>
          <w:rFonts w:asciiTheme="minorHAnsi" w:hAnsiTheme="minorHAnsi" w:cstheme="minorHAnsi"/>
          <w:lang w:val="pt-PT"/>
        </w:rPr>
        <w:t xml:space="preserve">   </w:t>
      </w:r>
      <w:r w:rsidRPr="00C11CC2">
        <w:rPr>
          <w:rFonts w:asciiTheme="minorHAnsi" w:hAnsiTheme="minorHAnsi" w:cstheme="minorHAnsi"/>
          <w:lang w:val="pt-PT"/>
        </w:rPr>
        <w:t>SIAC – Iniciativa de Transferência de Conhecimento</w:t>
      </w:r>
    </w:p>
    <w:p w14:paraId="3BA76237" w14:textId="77777777" w:rsidR="00DA5A0D" w:rsidRPr="00C11CC2" w:rsidRDefault="00DA5A0D" w:rsidP="00DA5A0D">
      <w:pPr>
        <w:spacing w:before="0" w:after="0"/>
        <w:ind w:left="707"/>
        <w:rPr>
          <w:rFonts w:asciiTheme="minorHAnsi" w:hAnsiTheme="minorHAnsi" w:cstheme="minorHAnsi"/>
          <w:lang w:val="pt-PT"/>
        </w:rPr>
      </w:pPr>
      <w:r w:rsidRPr="00C11CC2">
        <w:rPr>
          <w:rFonts w:asciiTheme="minorHAnsi" w:hAnsiTheme="minorHAnsi" w:cstheme="minorHAnsi"/>
          <w:lang w:val="pt-PT"/>
        </w:rPr>
        <w:t>CPV 72224000-1 Serviços de consultoria em gestão de projetos</w:t>
      </w:r>
    </w:p>
    <w:p w14:paraId="129D8573" w14:textId="70C097E6" w:rsidR="00DA5A0D" w:rsidRPr="00C11CC2" w:rsidRDefault="00DA5A0D" w:rsidP="00FC103C">
      <w:pPr>
        <w:spacing w:before="0" w:after="0"/>
        <w:ind w:left="1135" w:firstLine="348"/>
        <w:rPr>
          <w:rFonts w:asciiTheme="minorHAnsi" w:hAnsiTheme="minorHAnsi" w:cstheme="minorHAnsi"/>
          <w:lang w:val="pt-PT"/>
        </w:rPr>
      </w:pPr>
      <w:r w:rsidRPr="00C11CC2">
        <w:rPr>
          <w:rFonts w:asciiTheme="minorHAnsi" w:hAnsiTheme="minorHAnsi" w:cstheme="minorHAnsi"/>
          <w:lang w:val="pt-PT"/>
        </w:rPr>
        <w:t>Consulta Prévia CPS 0</w:t>
      </w:r>
      <w:r w:rsidR="00A83329" w:rsidRPr="00C11CC2">
        <w:rPr>
          <w:rFonts w:asciiTheme="minorHAnsi" w:hAnsiTheme="minorHAnsi" w:cstheme="minorHAnsi"/>
          <w:lang w:val="pt-PT"/>
        </w:rPr>
        <w:t>6</w:t>
      </w:r>
      <w:r w:rsidRPr="00C11CC2">
        <w:rPr>
          <w:rFonts w:asciiTheme="minorHAnsi" w:hAnsiTheme="minorHAnsi" w:cstheme="minorHAnsi"/>
          <w:lang w:val="pt-PT"/>
        </w:rPr>
        <w:t>/2022</w:t>
      </w:r>
    </w:p>
    <w:p w14:paraId="03660FA6" w14:textId="2E00D6F7" w:rsidR="00DA5A0D" w:rsidRPr="00C11CC2" w:rsidRDefault="00DF6779" w:rsidP="00DF6779">
      <w:pPr>
        <w:pStyle w:val="PargrafodaLista"/>
        <w:numPr>
          <w:ilvl w:val="0"/>
          <w:numId w:val="16"/>
        </w:numPr>
        <w:spacing w:before="0"/>
        <w:ind w:left="1843"/>
        <w:rPr>
          <w:rFonts w:asciiTheme="minorHAnsi" w:hAnsiTheme="minorHAnsi" w:cstheme="minorHAnsi"/>
          <w:lang w:val="pt-PT"/>
        </w:rPr>
      </w:pPr>
      <w:r w:rsidRPr="00C11CC2">
        <w:rPr>
          <w:rFonts w:asciiTheme="minorHAnsi" w:hAnsiTheme="minorHAnsi" w:cstheme="minorHAnsi"/>
          <w:lang w:val="pt-PT"/>
        </w:rPr>
        <w:t>Desenvolvimento e implementação de um programa de capacitação das Infraestruturas Tecnológicas</w:t>
      </w:r>
    </w:p>
    <w:p w14:paraId="3508DA26" w14:textId="379FCF26" w:rsidR="00AE34EB" w:rsidRPr="00C11CC2" w:rsidRDefault="00AE34EB" w:rsidP="00AE34EB">
      <w:pPr>
        <w:ind w:firstLine="0"/>
        <w:rPr>
          <w:rFonts w:asciiTheme="minorHAnsi" w:hAnsiTheme="minorHAnsi" w:cstheme="minorHAnsi"/>
          <w:lang w:val="pt-PT"/>
        </w:rPr>
      </w:pPr>
      <w:r w:rsidRPr="00C11CC2">
        <w:rPr>
          <w:rFonts w:asciiTheme="minorHAnsi" w:hAnsiTheme="minorHAnsi" w:cstheme="minorHAnsi"/>
          <w:lang w:val="pt-PT"/>
        </w:rPr>
        <w:t>Elaboração:</w:t>
      </w:r>
      <w:r w:rsidR="009543F4">
        <w:rPr>
          <w:rFonts w:asciiTheme="minorHAnsi" w:hAnsiTheme="minorHAnsi" w:cstheme="minorHAnsi"/>
          <w:lang w:val="pt-PT"/>
        </w:rPr>
        <w:t xml:space="preserve">   </w:t>
      </w:r>
      <w:r w:rsidRPr="00C11CC2">
        <w:rPr>
          <w:rFonts w:asciiTheme="minorHAnsi" w:hAnsiTheme="minorHAnsi" w:cstheme="minorHAnsi"/>
          <w:lang w:val="pt-PT"/>
        </w:rPr>
        <w:tab/>
        <w:t>ClarkeModet</w:t>
      </w:r>
    </w:p>
    <w:p w14:paraId="5C642D3C" w14:textId="54A0CB30" w:rsidR="00775D55" w:rsidRPr="00C11CC2" w:rsidRDefault="00775D55" w:rsidP="00B27B3D">
      <w:pPr>
        <w:ind w:firstLine="0"/>
        <w:rPr>
          <w:rFonts w:asciiTheme="minorHAnsi" w:hAnsiTheme="minorHAnsi" w:cstheme="minorHAnsi"/>
          <w:lang w:val="pt-PT"/>
        </w:rPr>
      </w:pPr>
      <w:r w:rsidRPr="00C11CC2">
        <w:rPr>
          <w:rFonts w:asciiTheme="minorHAnsi" w:hAnsiTheme="minorHAnsi" w:cstheme="minorHAnsi"/>
          <w:lang w:val="pt-PT"/>
        </w:rPr>
        <w:t xml:space="preserve">Realização: </w:t>
      </w:r>
      <w:r w:rsidR="009543F4">
        <w:rPr>
          <w:rFonts w:asciiTheme="minorHAnsi" w:hAnsiTheme="minorHAnsi" w:cstheme="minorHAnsi"/>
          <w:lang w:val="pt-PT"/>
        </w:rPr>
        <w:t xml:space="preserve">   </w:t>
      </w:r>
      <w:r w:rsidR="0017613F" w:rsidRPr="00C11CC2">
        <w:rPr>
          <w:rFonts w:asciiTheme="minorHAnsi" w:hAnsiTheme="minorHAnsi" w:cstheme="minorHAnsi"/>
          <w:lang w:val="pt-PT"/>
        </w:rPr>
        <w:tab/>
      </w:r>
      <w:proofErr w:type="gramStart"/>
      <w:r w:rsidR="00BB49FE" w:rsidRPr="00C11CC2">
        <w:rPr>
          <w:rFonts w:asciiTheme="minorHAnsi" w:hAnsiTheme="minorHAnsi" w:cstheme="minorHAnsi"/>
          <w:lang w:val="pt-PT"/>
        </w:rPr>
        <w:t>Junho</w:t>
      </w:r>
      <w:proofErr w:type="gramEnd"/>
      <w:r w:rsidRPr="00C11CC2">
        <w:rPr>
          <w:rFonts w:asciiTheme="minorHAnsi" w:hAnsiTheme="minorHAnsi" w:cstheme="minorHAnsi"/>
          <w:lang w:val="pt-PT"/>
        </w:rPr>
        <w:t xml:space="preserve"> </w:t>
      </w:r>
      <w:r w:rsidR="00483202" w:rsidRPr="00C11CC2">
        <w:rPr>
          <w:rFonts w:asciiTheme="minorHAnsi" w:hAnsiTheme="minorHAnsi" w:cstheme="minorHAnsi"/>
          <w:lang w:val="pt-PT"/>
        </w:rPr>
        <w:t xml:space="preserve">de </w:t>
      </w:r>
      <w:r w:rsidRPr="00C11CC2">
        <w:rPr>
          <w:rFonts w:asciiTheme="minorHAnsi" w:hAnsiTheme="minorHAnsi" w:cstheme="minorHAnsi"/>
          <w:lang w:val="pt-PT"/>
        </w:rPr>
        <w:t>2023</w:t>
      </w:r>
    </w:p>
    <w:p w14:paraId="4D8DB0FA" w14:textId="77777777" w:rsidR="00B27B3D" w:rsidRPr="00FF7074" w:rsidRDefault="00B27B3D" w:rsidP="00B27B3D">
      <w:pPr>
        <w:ind w:firstLine="0"/>
        <w:rPr>
          <w:rFonts w:asciiTheme="minorHAnsi" w:hAnsiTheme="minorHAnsi" w:cstheme="minorHAnsi"/>
          <w:lang w:val="pt-PT"/>
        </w:rPr>
      </w:pPr>
    </w:p>
    <w:p w14:paraId="44D275AD" w14:textId="77777777" w:rsidR="00B27B3D" w:rsidRPr="00FF7074" w:rsidRDefault="00B27B3D" w:rsidP="00B27B3D">
      <w:pPr>
        <w:ind w:firstLine="0"/>
        <w:rPr>
          <w:rFonts w:asciiTheme="minorHAnsi" w:hAnsiTheme="minorHAnsi" w:cstheme="minorHAnsi"/>
          <w:lang w:val="pt-PT"/>
        </w:rPr>
      </w:pPr>
    </w:p>
    <w:p w14:paraId="38371C5D" w14:textId="77777777" w:rsidR="002E65F4" w:rsidRPr="00FF7074" w:rsidRDefault="002E65F4">
      <w:pPr>
        <w:spacing w:before="0" w:after="0" w:line="240" w:lineRule="auto"/>
        <w:ind w:firstLine="0"/>
        <w:jc w:val="left"/>
        <w:rPr>
          <w:rFonts w:asciiTheme="minorHAnsi" w:hAnsiTheme="minorHAnsi" w:cstheme="minorHAnsi"/>
          <w:color w:val="0033FF" w:themeColor="accent2"/>
          <w:sz w:val="28"/>
          <w:szCs w:val="28"/>
          <w:lang w:val="pt-PT"/>
        </w:rPr>
      </w:pPr>
      <w:r w:rsidRPr="00FF7074">
        <w:rPr>
          <w:rFonts w:asciiTheme="minorHAnsi" w:hAnsiTheme="minorHAnsi" w:cstheme="minorHAnsi"/>
          <w:color w:val="0033FF" w:themeColor="accent2"/>
          <w:sz w:val="28"/>
          <w:szCs w:val="28"/>
          <w:lang w:val="pt-PT"/>
        </w:rPr>
        <w:br w:type="page"/>
      </w:r>
    </w:p>
    <w:p w14:paraId="0B8F05A2" w14:textId="0E490EF0" w:rsidR="00A47BD8" w:rsidRPr="00AF3AD0" w:rsidRDefault="00E40815" w:rsidP="008E1D19">
      <w:pPr>
        <w:spacing w:before="0" w:after="0" w:line="240" w:lineRule="auto"/>
        <w:ind w:firstLine="0"/>
        <w:jc w:val="left"/>
        <w:rPr>
          <w:rFonts w:asciiTheme="majorHAnsi" w:hAnsiTheme="majorHAnsi" w:cstheme="minorHAnsi"/>
          <w:color w:val="707279"/>
          <w:sz w:val="32"/>
          <w:szCs w:val="32"/>
          <w:lang w:val="pt-PT"/>
        </w:rPr>
      </w:pPr>
      <w:r w:rsidRPr="00AF3AD0">
        <w:rPr>
          <w:rFonts w:asciiTheme="minorHAnsi" w:hAnsiTheme="minorHAnsi" w:cstheme="minorHAnsi"/>
          <w:color w:val="707279"/>
          <w:sz w:val="28"/>
          <w:szCs w:val="28"/>
          <w:lang w:val="pt-PT"/>
        </w:rPr>
        <w:lastRenderedPageBreak/>
        <w:t>Í</w:t>
      </w:r>
      <w:r w:rsidR="00E76F58" w:rsidRPr="00AF3AD0">
        <w:rPr>
          <w:rFonts w:asciiTheme="minorHAnsi" w:hAnsiTheme="minorHAnsi" w:cstheme="minorHAnsi"/>
          <w:color w:val="707279"/>
          <w:sz w:val="28"/>
          <w:szCs w:val="28"/>
          <w:lang w:val="pt-PT"/>
        </w:rPr>
        <w:t>ND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r w:rsidRPr="00AF3AD0">
        <w:rPr>
          <w:rFonts w:asciiTheme="minorHAnsi" w:hAnsiTheme="minorHAnsi" w:cstheme="minorHAnsi"/>
          <w:color w:val="707279"/>
          <w:sz w:val="28"/>
          <w:szCs w:val="28"/>
          <w:lang w:val="pt-PT"/>
        </w:rPr>
        <w:t>ICE</w:t>
      </w:r>
    </w:p>
    <w:p w14:paraId="3E78A914" w14:textId="77777777" w:rsidR="008E1D19" w:rsidRPr="00FF7074" w:rsidRDefault="008E1D19" w:rsidP="00CF13E7">
      <w:pPr>
        <w:pStyle w:val="ndice1"/>
        <w:rPr>
          <w:rFonts w:eastAsia="Arial Unicode MS"/>
          <w:lang w:val="pt-PT" w:eastAsia="es-ES_tradnl"/>
        </w:rPr>
      </w:pPr>
    </w:p>
    <w:p w14:paraId="50E86801" w14:textId="41A481CF" w:rsidR="00925C35" w:rsidRPr="00925C35" w:rsidRDefault="00E76F58">
      <w:pPr>
        <w:pStyle w:val="ndice1"/>
        <w:rPr>
          <w:rFonts w:asciiTheme="minorHAnsi" w:eastAsiaTheme="minorEastAsia" w:hAnsiTheme="minorHAnsi" w:cstheme="minorBidi"/>
          <w:b w:val="0"/>
          <w:bCs/>
          <w:kern w:val="0"/>
          <w:sz w:val="22"/>
          <w:szCs w:val="22"/>
          <w:lang w:val="pt-PT" w:eastAsia="pt-PT"/>
        </w:rPr>
      </w:pPr>
      <w:r w:rsidRPr="006A61F2">
        <w:rPr>
          <w:rFonts w:eastAsia="Arial Unicode MS" w:cstheme="minorHAnsi"/>
          <w:b w:val="0"/>
          <w:bCs/>
          <w:noProof w:val="0"/>
          <w:color w:val="D42E12"/>
          <w:u w:val="single"/>
          <w:lang w:val="pt-PT" w:eastAsia="es-ES_tradnl"/>
        </w:rPr>
        <w:fldChar w:fldCharType="begin"/>
      </w:r>
      <w:r w:rsidRPr="006A61F2">
        <w:rPr>
          <w:rFonts w:cstheme="minorHAnsi"/>
          <w:b w:val="0"/>
          <w:bCs/>
          <w:noProof w:val="0"/>
          <w:color w:val="D42E12"/>
          <w:u w:val="single"/>
          <w:lang w:val="pt-PT"/>
        </w:rPr>
        <w:instrText xml:space="preserve"> TOC \o "1-3" \h \z \u </w:instrText>
      </w:r>
      <w:r w:rsidRPr="006A61F2">
        <w:rPr>
          <w:rFonts w:eastAsia="Arial Unicode MS" w:cstheme="minorHAnsi"/>
          <w:b w:val="0"/>
          <w:bCs/>
          <w:noProof w:val="0"/>
          <w:color w:val="D42E12"/>
          <w:u w:val="single"/>
          <w:lang w:val="pt-PT" w:eastAsia="es-ES_tradnl"/>
        </w:rPr>
        <w:fldChar w:fldCharType="separate"/>
      </w:r>
      <w:hyperlink w:anchor="_Toc138420934" w:history="1">
        <w:r w:rsidR="00925C35" w:rsidRPr="00925C35">
          <w:rPr>
            <w:rStyle w:val="Hiperligao"/>
            <w:b w:val="0"/>
            <w:bCs/>
          </w:rPr>
          <w:t>1</w:t>
        </w:r>
        <w:r w:rsidR="00925C35" w:rsidRPr="00925C35">
          <w:rPr>
            <w:rFonts w:asciiTheme="minorHAnsi" w:eastAsiaTheme="minorEastAsia" w:hAnsiTheme="minorHAnsi" w:cstheme="minorBidi"/>
            <w:b w:val="0"/>
            <w:bCs/>
            <w:kern w:val="0"/>
            <w:sz w:val="22"/>
            <w:szCs w:val="22"/>
            <w:lang w:val="pt-PT" w:eastAsia="pt-PT"/>
          </w:rPr>
          <w:tab/>
        </w:r>
        <w:r w:rsidR="00925C35" w:rsidRPr="00925C35">
          <w:rPr>
            <w:rStyle w:val="Hiperligao"/>
            <w:b w:val="0"/>
            <w:bCs/>
          </w:rPr>
          <w:t>INTRODUÇÃO</w:t>
        </w:r>
        <w:r w:rsidR="00925C35" w:rsidRPr="00925C35">
          <w:rPr>
            <w:b w:val="0"/>
            <w:bCs/>
            <w:webHidden/>
          </w:rPr>
          <w:tab/>
        </w:r>
        <w:r w:rsidR="00925C35" w:rsidRPr="00925C35">
          <w:rPr>
            <w:b w:val="0"/>
            <w:bCs/>
            <w:webHidden/>
          </w:rPr>
          <w:fldChar w:fldCharType="begin"/>
        </w:r>
        <w:r w:rsidR="00925C35" w:rsidRPr="00925C35">
          <w:rPr>
            <w:b w:val="0"/>
            <w:bCs/>
            <w:webHidden/>
          </w:rPr>
          <w:instrText xml:space="preserve"> PAGEREF _Toc138420934 \h </w:instrText>
        </w:r>
        <w:r w:rsidR="00925C35" w:rsidRPr="00925C35">
          <w:rPr>
            <w:b w:val="0"/>
            <w:bCs/>
            <w:webHidden/>
          </w:rPr>
        </w:r>
        <w:r w:rsidR="00925C35" w:rsidRPr="00925C35">
          <w:rPr>
            <w:b w:val="0"/>
            <w:bCs/>
            <w:webHidden/>
          </w:rPr>
          <w:fldChar w:fldCharType="separate"/>
        </w:r>
        <w:r w:rsidR="008617AF">
          <w:rPr>
            <w:b w:val="0"/>
            <w:bCs/>
            <w:webHidden/>
          </w:rPr>
          <w:t>4</w:t>
        </w:r>
        <w:r w:rsidR="00925C35" w:rsidRPr="00925C35">
          <w:rPr>
            <w:b w:val="0"/>
            <w:bCs/>
            <w:webHidden/>
          </w:rPr>
          <w:fldChar w:fldCharType="end"/>
        </w:r>
      </w:hyperlink>
    </w:p>
    <w:p w14:paraId="7EEAD59C" w14:textId="0E1636D8" w:rsidR="00925C35" w:rsidRPr="00925C35" w:rsidRDefault="00925C35">
      <w:pPr>
        <w:pStyle w:val="ndice1"/>
        <w:rPr>
          <w:rFonts w:asciiTheme="minorHAnsi" w:eastAsiaTheme="minorEastAsia" w:hAnsiTheme="minorHAnsi" w:cstheme="minorBidi"/>
          <w:b w:val="0"/>
          <w:bCs/>
          <w:kern w:val="0"/>
          <w:sz w:val="22"/>
          <w:szCs w:val="22"/>
          <w:lang w:val="pt-PT" w:eastAsia="pt-PT"/>
        </w:rPr>
      </w:pPr>
      <w:hyperlink w:anchor="_Toc138420937" w:history="1">
        <w:r w:rsidRPr="00925C35">
          <w:rPr>
            <w:rStyle w:val="Hiperligao"/>
            <w:b w:val="0"/>
            <w:bCs/>
          </w:rPr>
          <w:t>2</w:t>
        </w:r>
        <w:r w:rsidRPr="00925C35">
          <w:rPr>
            <w:rFonts w:asciiTheme="minorHAnsi" w:eastAsiaTheme="minorEastAsia" w:hAnsiTheme="minorHAnsi" w:cstheme="minorBidi"/>
            <w:b w:val="0"/>
            <w:bCs/>
            <w:kern w:val="0"/>
            <w:sz w:val="22"/>
            <w:szCs w:val="22"/>
            <w:lang w:val="pt-PT" w:eastAsia="pt-PT"/>
          </w:rPr>
          <w:tab/>
        </w:r>
        <w:r w:rsidRPr="00925C35">
          <w:rPr>
            <w:rStyle w:val="Hiperligao"/>
            <w:b w:val="0"/>
            <w:bCs/>
          </w:rPr>
          <w:t>MODELOS DE TRANSFERÊNCIA DE TECNOLOGIA DO MIT, DA UNIVERSIDADE CARNEGIE MELLON E DA UNIVERSIDADE DO TEXAS</w:t>
        </w:r>
        <w:r w:rsidRPr="00925C35">
          <w:rPr>
            <w:b w:val="0"/>
            <w:bCs/>
            <w:webHidden/>
          </w:rPr>
          <w:tab/>
        </w:r>
        <w:r w:rsidRPr="00925C35">
          <w:rPr>
            <w:b w:val="0"/>
            <w:bCs/>
            <w:webHidden/>
          </w:rPr>
          <w:fldChar w:fldCharType="begin"/>
        </w:r>
        <w:r w:rsidRPr="00925C35">
          <w:rPr>
            <w:b w:val="0"/>
            <w:bCs/>
            <w:webHidden/>
          </w:rPr>
          <w:instrText xml:space="preserve"> PAGEREF _Toc138420937 \h </w:instrText>
        </w:r>
        <w:r w:rsidRPr="00925C35">
          <w:rPr>
            <w:b w:val="0"/>
            <w:bCs/>
            <w:webHidden/>
          </w:rPr>
        </w:r>
        <w:r w:rsidRPr="00925C35">
          <w:rPr>
            <w:b w:val="0"/>
            <w:bCs/>
            <w:webHidden/>
          </w:rPr>
          <w:fldChar w:fldCharType="separate"/>
        </w:r>
        <w:r w:rsidR="008617AF">
          <w:rPr>
            <w:b w:val="0"/>
            <w:bCs/>
            <w:webHidden/>
          </w:rPr>
          <w:t>5</w:t>
        </w:r>
        <w:r w:rsidRPr="00925C35">
          <w:rPr>
            <w:b w:val="0"/>
            <w:bCs/>
            <w:webHidden/>
          </w:rPr>
          <w:fldChar w:fldCharType="end"/>
        </w:r>
      </w:hyperlink>
    </w:p>
    <w:p w14:paraId="1211CD6B" w14:textId="6BB7D953" w:rsidR="00925C35" w:rsidRPr="00925C35" w:rsidRDefault="00925C35">
      <w:pPr>
        <w:pStyle w:val="ndice2"/>
        <w:rPr>
          <w:rFonts w:asciiTheme="minorHAnsi" w:eastAsiaTheme="minorEastAsia" w:hAnsiTheme="minorHAnsi" w:cstheme="minorBidi"/>
          <w:bCs/>
          <w:smallCaps w:val="0"/>
          <w:noProof/>
          <w:sz w:val="22"/>
          <w:szCs w:val="22"/>
          <w:lang w:val="pt-PT" w:eastAsia="pt-PT"/>
        </w:rPr>
      </w:pPr>
      <w:hyperlink w:anchor="_Toc138420939" w:history="1">
        <w:r w:rsidRPr="00925C35">
          <w:rPr>
            <w:rStyle w:val="Hiperligao"/>
            <w:bCs/>
            <w:smallCaps w:val="0"/>
            <w:noProof/>
          </w:rPr>
          <w:t>2.1</w:t>
        </w:r>
        <w:r w:rsidRPr="00925C35">
          <w:rPr>
            <w:rFonts w:asciiTheme="minorHAnsi" w:eastAsiaTheme="minorEastAsia" w:hAnsiTheme="minorHAnsi" w:cstheme="minorBidi"/>
            <w:bCs/>
            <w:smallCaps w:val="0"/>
            <w:noProof/>
            <w:sz w:val="22"/>
            <w:szCs w:val="22"/>
            <w:lang w:val="pt-PT" w:eastAsia="pt-PT"/>
          </w:rPr>
          <w:tab/>
        </w:r>
        <w:r w:rsidRPr="00925C35">
          <w:rPr>
            <w:rStyle w:val="Hiperligao"/>
            <w:bCs/>
            <w:smallCaps w:val="0"/>
            <w:noProof/>
          </w:rPr>
          <w:t>Massachusetts Institute of Technology - MIT</w:t>
        </w:r>
        <w:r w:rsidRPr="00925C35">
          <w:rPr>
            <w:bCs/>
            <w:smallCaps w:val="0"/>
            <w:noProof/>
            <w:webHidden/>
          </w:rPr>
          <w:tab/>
        </w:r>
        <w:r w:rsidRPr="00925C35">
          <w:rPr>
            <w:bCs/>
            <w:smallCaps w:val="0"/>
            <w:noProof/>
            <w:webHidden/>
          </w:rPr>
          <w:fldChar w:fldCharType="begin"/>
        </w:r>
        <w:r w:rsidRPr="00925C35">
          <w:rPr>
            <w:bCs/>
            <w:smallCaps w:val="0"/>
            <w:noProof/>
            <w:webHidden/>
          </w:rPr>
          <w:instrText xml:space="preserve"> PAGEREF _Toc138420939 \h </w:instrText>
        </w:r>
        <w:r w:rsidRPr="00925C35">
          <w:rPr>
            <w:bCs/>
            <w:smallCaps w:val="0"/>
            <w:noProof/>
            <w:webHidden/>
          </w:rPr>
        </w:r>
        <w:r w:rsidRPr="00925C35">
          <w:rPr>
            <w:bCs/>
            <w:smallCaps w:val="0"/>
            <w:noProof/>
            <w:webHidden/>
          </w:rPr>
          <w:fldChar w:fldCharType="separate"/>
        </w:r>
        <w:r w:rsidR="008617AF">
          <w:rPr>
            <w:bCs/>
            <w:smallCaps w:val="0"/>
            <w:noProof/>
            <w:webHidden/>
          </w:rPr>
          <w:t>8</w:t>
        </w:r>
        <w:r w:rsidRPr="00925C35">
          <w:rPr>
            <w:bCs/>
            <w:smallCaps w:val="0"/>
            <w:noProof/>
            <w:webHidden/>
          </w:rPr>
          <w:fldChar w:fldCharType="end"/>
        </w:r>
      </w:hyperlink>
    </w:p>
    <w:p w14:paraId="50022C34" w14:textId="6B92B353" w:rsidR="00925C35" w:rsidRPr="00925C35" w:rsidRDefault="00925C35">
      <w:pPr>
        <w:pStyle w:val="ndice2"/>
        <w:rPr>
          <w:rFonts w:asciiTheme="minorHAnsi" w:eastAsiaTheme="minorEastAsia" w:hAnsiTheme="minorHAnsi" w:cstheme="minorBidi"/>
          <w:bCs/>
          <w:smallCaps w:val="0"/>
          <w:noProof/>
          <w:sz w:val="22"/>
          <w:szCs w:val="22"/>
          <w:lang w:val="pt-PT" w:eastAsia="pt-PT"/>
        </w:rPr>
      </w:pPr>
      <w:hyperlink w:anchor="_Toc138420940" w:history="1">
        <w:r w:rsidRPr="00925C35">
          <w:rPr>
            <w:rStyle w:val="Hiperligao"/>
            <w:bCs/>
            <w:smallCaps w:val="0"/>
            <w:noProof/>
          </w:rPr>
          <w:t>2.2</w:t>
        </w:r>
        <w:r w:rsidRPr="00925C35">
          <w:rPr>
            <w:rFonts w:asciiTheme="minorHAnsi" w:eastAsiaTheme="minorEastAsia" w:hAnsiTheme="minorHAnsi" w:cstheme="minorBidi"/>
            <w:bCs/>
            <w:smallCaps w:val="0"/>
            <w:noProof/>
            <w:sz w:val="22"/>
            <w:szCs w:val="22"/>
            <w:lang w:val="pt-PT" w:eastAsia="pt-PT"/>
          </w:rPr>
          <w:tab/>
        </w:r>
        <w:r w:rsidRPr="00925C35">
          <w:rPr>
            <w:rStyle w:val="Hiperligao"/>
            <w:bCs/>
            <w:smallCaps w:val="0"/>
            <w:noProof/>
          </w:rPr>
          <w:t>Universidade Carnegie Mellon - CMU</w:t>
        </w:r>
        <w:r w:rsidRPr="00925C35">
          <w:rPr>
            <w:bCs/>
            <w:smallCaps w:val="0"/>
            <w:noProof/>
            <w:webHidden/>
          </w:rPr>
          <w:tab/>
        </w:r>
        <w:r w:rsidRPr="00925C35">
          <w:rPr>
            <w:bCs/>
            <w:smallCaps w:val="0"/>
            <w:noProof/>
            <w:webHidden/>
          </w:rPr>
          <w:fldChar w:fldCharType="begin"/>
        </w:r>
        <w:r w:rsidRPr="00925C35">
          <w:rPr>
            <w:bCs/>
            <w:smallCaps w:val="0"/>
            <w:noProof/>
            <w:webHidden/>
          </w:rPr>
          <w:instrText xml:space="preserve"> PAGEREF _Toc138420940 \h </w:instrText>
        </w:r>
        <w:r w:rsidRPr="00925C35">
          <w:rPr>
            <w:bCs/>
            <w:smallCaps w:val="0"/>
            <w:noProof/>
            <w:webHidden/>
          </w:rPr>
        </w:r>
        <w:r w:rsidRPr="00925C35">
          <w:rPr>
            <w:bCs/>
            <w:smallCaps w:val="0"/>
            <w:noProof/>
            <w:webHidden/>
          </w:rPr>
          <w:fldChar w:fldCharType="separate"/>
        </w:r>
        <w:r w:rsidR="008617AF">
          <w:rPr>
            <w:bCs/>
            <w:smallCaps w:val="0"/>
            <w:noProof/>
            <w:webHidden/>
          </w:rPr>
          <w:t>9</w:t>
        </w:r>
        <w:r w:rsidRPr="00925C35">
          <w:rPr>
            <w:bCs/>
            <w:smallCaps w:val="0"/>
            <w:noProof/>
            <w:webHidden/>
          </w:rPr>
          <w:fldChar w:fldCharType="end"/>
        </w:r>
      </w:hyperlink>
    </w:p>
    <w:p w14:paraId="7E66B8C7" w14:textId="0B33D10C" w:rsidR="00925C35" w:rsidRPr="00925C35" w:rsidRDefault="00925C35">
      <w:pPr>
        <w:pStyle w:val="ndice2"/>
        <w:rPr>
          <w:rFonts w:asciiTheme="minorHAnsi" w:eastAsiaTheme="minorEastAsia" w:hAnsiTheme="minorHAnsi" w:cstheme="minorBidi"/>
          <w:bCs/>
          <w:smallCaps w:val="0"/>
          <w:noProof/>
          <w:sz w:val="22"/>
          <w:szCs w:val="22"/>
          <w:lang w:val="pt-PT" w:eastAsia="pt-PT"/>
        </w:rPr>
      </w:pPr>
      <w:hyperlink w:anchor="_Toc138420941" w:history="1">
        <w:r w:rsidRPr="00925C35">
          <w:rPr>
            <w:rStyle w:val="Hiperligao"/>
            <w:bCs/>
            <w:smallCaps w:val="0"/>
            <w:noProof/>
          </w:rPr>
          <w:t>2.3</w:t>
        </w:r>
        <w:r w:rsidRPr="00925C35">
          <w:rPr>
            <w:rFonts w:asciiTheme="minorHAnsi" w:eastAsiaTheme="minorEastAsia" w:hAnsiTheme="minorHAnsi" w:cstheme="minorBidi"/>
            <w:bCs/>
            <w:smallCaps w:val="0"/>
            <w:noProof/>
            <w:sz w:val="22"/>
            <w:szCs w:val="22"/>
            <w:lang w:val="pt-PT" w:eastAsia="pt-PT"/>
          </w:rPr>
          <w:tab/>
        </w:r>
        <w:r w:rsidRPr="00925C35">
          <w:rPr>
            <w:rStyle w:val="Hiperligao"/>
            <w:bCs/>
            <w:smallCaps w:val="0"/>
            <w:noProof/>
          </w:rPr>
          <w:t>Universidade do Texas</w:t>
        </w:r>
        <w:r w:rsidRPr="00925C35">
          <w:rPr>
            <w:bCs/>
            <w:smallCaps w:val="0"/>
            <w:noProof/>
            <w:webHidden/>
          </w:rPr>
          <w:tab/>
        </w:r>
        <w:r w:rsidRPr="00925C35">
          <w:rPr>
            <w:bCs/>
            <w:smallCaps w:val="0"/>
            <w:noProof/>
            <w:webHidden/>
          </w:rPr>
          <w:fldChar w:fldCharType="begin"/>
        </w:r>
        <w:r w:rsidRPr="00925C35">
          <w:rPr>
            <w:bCs/>
            <w:smallCaps w:val="0"/>
            <w:noProof/>
            <w:webHidden/>
          </w:rPr>
          <w:instrText xml:space="preserve"> PAGEREF _Toc138420941 \h </w:instrText>
        </w:r>
        <w:r w:rsidRPr="00925C35">
          <w:rPr>
            <w:bCs/>
            <w:smallCaps w:val="0"/>
            <w:noProof/>
            <w:webHidden/>
          </w:rPr>
        </w:r>
        <w:r w:rsidRPr="00925C35">
          <w:rPr>
            <w:bCs/>
            <w:smallCaps w:val="0"/>
            <w:noProof/>
            <w:webHidden/>
          </w:rPr>
          <w:fldChar w:fldCharType="separate"/>
        </w:r>
        <w:r w:rsidR="008617AF">
          <w:rPr>
            <w:bCs/>
            <w:smallCaps w:val="0"/>
            <w:noProof/>
            <w:webHidden/>
          </w:rPr>
          <w:t>10</w:t>
        </w:r>
        <w:r w:rsidRPr="00925C35">
          <w:rPr>
            <w:bCs/>
            <w:smallCaps w:val="0"/>
            <w:noProof/>
            <w:webHidden/>
          </w:rPr>
          <w:fldChar w:fldCharType="end"/>
        </w:r>
      </w:hyperlink>
    </w:p>
    <w:p w14:paraId="45CBAE18" w14:textId="141E8A35" w:rsidR="00925C35" w:rsidRPr="00925C35" w:rsidRDefault="00925C35">
      <w:pPr>
        <w:pStyle w:val="ndice1"/>
        <w:rPr>
          <w:rFonts w:asciiTheme="minorHAnsi" w:eastAsiaTheme="minorEastAsia" w:hAnsiTheme="minorHAnsi" w:cstheme="minorBidi"/>
          <w:b w:val="0"/>
          <w:bCs/>
          <w:kern w:val="0"/>
          <w:sz w:val="22"/>
          <w:szCs w:val="22"/>
          <w:lang w:val="pt-PT" w:eastAsia="pt-PT"/>
        </w:rPr>
      </w:pPr>
      <w:hyperlink w:anchor="_Toc138420942" w:history="1">
        <w:r w:rsidRPr="00925C35">
          <w:rPr>
            <w:rStyle w:val="Hiperligao"/>
            <w:b w:val="0"/>
            <w:bCs/>
          </w:rPr>
          <w:t>3</w:t>
        </w:r>
        <w:r w:rsidRPr="00925C35">
          <w:rPr>
            <w:rFonts w:asciiTheme="minorHAnsi" w:eastAsiaTheme="minorEastAsia" w:hAnsiTheme="minorHAnsi" w:cstheme="minorBidi"/>
            <w:b w:val="0"/>
            <w:bCs/>
            <w:kern w:val="0"/>
            <w:sz w:val="22"/>
            <w:szCs w:val="22"/>
            <w:lang w:val="pt-PT" w:eastAsia="pt-PT"/>
          </w:rPr>
          <w:tab/>
        </w:r>
        <w:r w:rsidRPr="00925C35">
          <w:rPr>
            <w:rStyle w:val="Hiperligao"/>
            <w:b w:val="0"/>
            <w:bCs/>
          </w:rPr>
          <w:t>MODELOS DE TRANSFERÊNCIA DE TECNOLOGIA DE UNIVERSIDADES PORTUGUESAS</w:t>
        </w:r>
        <w:r w:rsidRPr="00925C35">
          <w:rPr>
            <w:b w:val="0"/>
            <w:bCs/>
            <w:webHidden/>
          </w:rPr>
          <w:tab/>
        </w:r>
        <w:r w:rsidRPr="00925C35">
          <w:rPr>
            <w:b w:val="0"/>
            <w:bCs/>
            <w:webHidden/>
          </w:rPr>
          <w:fldChar w:fldCharType="begin"/>
        </w:r>
        <w:r w:rsidRPr="00925C35">
          <w:rPr>
            <w:b w:val="0"/>
            <w:bCs/>
            <w:webHidden/>
          </w:rPr>
          <w:instrText xml:space="preserve"> PAGEREF _Toc138420942 \h </w:instrText>
        </w:r>
        <w:r w:rsidRPr="00925C35">
          <w:rPr>
            <w:b w:val="0"/>
            <w:bCs/>
            <w:webHidden/>
          </w:rPr>
        </w:r>
        <w:r w:rsidRPr="00925C35">
          <w:rPr>
            <w:b w:val="0"/>
            <w:bCs/>
            <w:webHidden/>
          </w:rPr>
          <w:fldChar w:fldCharType="separate"/>
        </w:r>
        <w:r w:rsidR="008617AF">
          <w:rPr>
            <w:b w:val="0"/>
            <w:bCs/>
            <w:webHidden/>
          </w:rPr>
          <w:t>13</w:t>
        </w:r>
        <w:r w:rsidRPr="00925C35">
          <w:rPr>
            <w:b w:val="0"/>
            <w:bCs/>
            <w:webHidden/>
          </w:rPr>
          <w:fldChar w:fldCharType="end"/>
        </w:r>
      </w:hyperlink>
    </w:p>
    <w:p w14:paraId="31E295AD" w14:textId="51FEED08" w:rsidR="00925C35" w:rsidRPr="00925C35" w:rsidRDefault="00925C35">
      <w:pPr>
        <w:pStyle w:val="ndice1"/>
        <w:rPr>
          <w:rFonts w:asciiTheme="minorHAnsi" w:eastAsiaTheme="minorEastAsia" w:hAnsiTheme="minorHAnsi" w:cstheme="minorBidi"/>
          <w:b w:val="0"/>
          <w:bCs/>
          <w:kern w:val="0"/>
          <w:sz w:val="22"/>
          <w:szCs w:val="22"/>
          <w:lang w:val="pt-PT" w:eastAsia="pt-PT"/>
        </w:rPr>
      </w:pPr>
      <w:hyperlink w:anchor="_Toc138420943" w:history="1">
        <w:r w:rsidRPr="00925C35">
          <w:rPr>
            <w:rStyle w:val="Hiperligao"/>
            <w:b w:val="0"/>
            <w:bCs/>
          </w:rPr>
          <w:t>4</w:t>
        </w:r>
        <w:r w:rsidRPr="00925C35">
          <w:rPr>
            <w:rFonts w:asciiTheme="minorHAnsi" w:eastAsiaTheme="minorEastAsia" w:hAnsiTheme="minorHAnsi" w:cstheme="minorBidi"/>
            <w:b w:val="0"/>
            <w:bCs/>
            <w:kern w:val="0"/>
            <w:sz w:val="22"/>
            <w:szCs w:val="22"/>
            <w:lang w:val="pt-PT" w:eastAsia="pt-PT"/>
          </w:rPr>
          <w:tab/>
        </w:r>
        <w:r w:rsidRPr="00925C35">
          <w:rPr>
            <w:rStyle w:val="Hiperligao"/>
            <w:b w:val="0"/>
            <w:bCs/>
          </w:rPr>
          <w:t>MANUAL DE TRANSFERÊNCIA DE TECNOLOGIA</w:t>
        </w:r>
        <w:r w:rsidRPr="00925C35">
          <w:rPr>
            <w:b w:val="0"/>
            <w:bCs/>
            <w:webHidden/>
          </w:rPr>
          <w:tab/>
        </w:r>
        <w:r w:rsidRPr="00925C35">
          <w:rPr>
            <w:b w:val="0"/>
            <w:bCs/>
            <w:webHidden/>
          </w:rPr>
          <w:fldChar w:fldCharType="begin"/>
        </w:r>
        <w:r w:rsidRPr="00925C35">
          <w:rPr>
            <w:b w:val="0"/>
            <w:bCs/>
            <w:webHidden/>
          </w:rPr>
          <w:instrText xml:space="preserve"> PAGEREF _Toc138420943 \h </w:instrText>
        </w:r>
        <w:r w:rsidRPr="00925C35">
          <w:rPr>
            <w:b w:val="0"/>
            <w:bCs/>
            <w:webHidden/>
          </w:rPr>
        </w:r>
        <w:r w:rsidRPr="00925C35">
          <w:rPr>
            <w:b w:val="0"/>
            <w:bCs/>
            <w:webHidden/>
          </w:rPr>
          <w:fldChar w:fldCharType="separate"/>
        </w:r>
        <w:r w:rsidR="008617AF">
          <w:rPr>
            <w:b w:val="0"/>
            <w:bCs/>
            <w:webHidden/>
          </w:rPr>
          <w:t>14</w:t>
        </w:r>
        <w:r w:rsidRPr="00925C35">
          <w:rPr>
            <w:b w:val="0"/>
            <w:bCs/>
            <w:webHidden/>
          </w:rPr>
          <w:fldChar w:fldCharType="end"/>
        </w:r>
      </w:hyperlink>
    </w:p>
    <w:p w14:paraId="5C94E836" w14:textId="717FBBC7" w:rsidR="00925C35" w:rsidRPr="00925C35" w:rsidRDefault="00925C35">
      <w:pPr>
        <w:pStyle w:val="ndice2"/>
        <w:rPr>
          <w:rFonts w:asciiTheme="minorHAnsi" w:eastAsiaTheme="minorEastAsia" w:hAnsiTheme="minorHAnsi" w:cstheme="minorBidi"/>
          <w:bCs/>
          <w:smallCaps w:val="0"/>
          <w:noProof/>
          <w:sz w:val="22"/>
          <w:szCs w:val="22"/>
          <w:lang w:val="pt-PT" w:eastAsia="pt-PT"/>
        </w:rPr>
      </w:pPr>
      <w:hyperlink w:anchor="_Toc138420944" w:history="1">
        <w:r w:rsidRPr="00925C35">
          <w:rPr>
            <w:rStyle w:val="Hiperligao"/>
            <w:bCs/>
            <w:smallCaps w:val="0"/>
            <w:noProof/>
          </w:rPr>
          <w:t>4.1</w:t>
        </w:r>
        <w:r w:rsidRPr="00925C35">
          <w:rPr>
            <w:rFonts w:asciiTheme="minorHAnsi" w:eastAsiaTheme="minorEastAsia" w:hAnsiTheme="minorHAnsi" w:cstheme="minorBidi"/>
            <w:bCs/>
            <w:smallCaps w:val="0"/>
            <w:noProof/>
            <w:sz w:val="22"/>
            <w:szCs w:val="22"/>
            <w:lang w:val="pt-PT" w:eastAsia="pt-PT"/>
          </w:rPr>
          <w:tab/>
        </w:r>
        <w:r w:rsidRPr="00925C35">
          <w:rPr>
            <w:rStyle w:val="Hiperligao"/>
            <w:bCs/>
            <w:smallCaps w:val="0"/>
            <w:noProof/>
          </w:rPr>
          <w:t>Gestão de projetos de I&amp;D e divulgação interna</w:t>
        </w:r>
        <w:r w:rsidRPr="00925C35">
          <w:rPr>
            <w:bCs/>
            <w:smallCaps w:val="0"/>
            <w:noProof/>
            <w:webHidden/>
          </w:rPr>
          <w:tab/>
        </w:r>
        <w:r w:rsidRPr="00925C35">
          <w:rPr>
            <w:bCs/>
            <w:smallCaps w:val="0"/>
            <w:noProof/>
            <w:webHidden/>
          </w:rPr>
          <w:fldChar w:fldCharType="begin"/>
        </w:r>
        <w:r w:rsidRPr="00925C35">
          <w:rPr>
            <w:bCs/>
            <w:smallCaps w:val="0"/>
            <w:noProof/>
            <w:webHidden/>
          </w:rPr>
          <w:instrText xml:space="preserve"> PAGEREF _Toc138420944 \h </w:instrText>
        </w:r>
        <w:r w:rsidRPr="00925C35">
          <w:rPr>
            <w:bCs/>
            <w:smallCaps w:val="0"/>
            <w:noProof/>
            <w:webHidden/>
          </w:rPr>
        </w:r>
        <w:r w:rsidRPr="00925C35">
          <w:rPr>
            <w:bCs/>
            <w:smallCaps w:val="0"/>
            <w:noProof/>
            <w:webHidden/>
          </w:rPr>
          <w:fldChar w:fldCharType="separate"/>
        </w:r>
        <w:r w:rsidR="008617AF">
          <w:rPr>
            <w:bCs/>
            <w:smallCaps w:val="0"/>
            <w:noProof/>
            <w:webHidden/>
          </w:rPr>
          <w:t>14</w:t>
        </w:r>
        <w:r w:rsidRPr="00925C35">
          <w:rPr>
            <w:bCs/>
            <w:smallCaps w:val="0"/>
            <w:noProof/>
            <w:webHidden/>
          </w:rPr>
          <w:fldChar w:fldCharType="end"/>
        </w:r>
      </w:hyperlink>
    </w:p>
    <w:p w14:paraId="579D3BB4" w14:textId="3F8CEC6D" w:rsidR="00925C35" w:rsidRPr="00925C35" w:rsidRDefault="00925C35">
      <w:pPr>
        <w:pStyle w:val="ndice3"/>
        <w:tabs>
          <w:tab w:val="left" w:pos="1881"/>
        </w:tabs>
        <w:rPr>
          <w:rFonts w:asciiTheme="minorHAnsi" w:eastAsiaTheme="minorEastAsia" w:hAnsiTheme="minorHAnsi" w:cstheme="minorBidi"/>
          <w:bCs/>
          <w:noProof/>
          <w:sz w:val="22"/>
          <w:szCs w:val="22"/>
          <w:lang w:val="pt-PT" w:eastAsia="pt-PT"/>
        </w:rPr>
      </w:pPr>
      <w:hyperlink w:anchor="_Toc138420945" w:history="1">
        <w:r w:rsidRPr="00925C35">
          <w:rPr>
            <w:rStyle w:val="Hiperligao"/>
            <w:bCs/>
            <w:noProof/>
          </w:rPr>
          <w:t>4.1.1</w:t>
        </w:r>
        <w:r w:rsidRPr="00925C35">
          <w:rPr>
            <w:rFonts w:asciiTheme="minorHAnsi" w:eastAsiaTheme="minorEastAsia" w:hAnsiTheme="minorHAnsi" w:cstheme="minorBidi"/>
            <w:bCs/>
            <w:noProof/>
            <w:sz w:val="22"/>
            <w:szCs w:val="22"/>
            <w:lang w:val="pt-PT" w:eastAsia="pt-PT"/>
          </w:rPr>
          <w:tab/>
        </w:r>
        <w:r w:rsidRPr="00925C35">
          <w:rPr>
            <w:rStyle w:val="Hiperligao"/>
            <w:bCs/>
            <w:noProof/>
          </w:rPr>
          <w:t>Inovação aberta</w:t>
        </w:r>
        <w:r w:rsidRPr="00925C35">
          <w:rPr>
            <w:bCs/>
            <w:noProof/>
            <w:webHidden/>
          </w:rPr>
          <w:tab/>
        </w:r>
        <w:r w:rsidRPr="00925C35">
          <w:rPr>
            <w:bCs/>
            <w:noProof/>
            <w:webHidden/>
          </w:rPr>
          <w:fldChar w:fldCharType="begin"/>
        </w:r>
        <w:r w:rsidRPr="00925C35">
          <w:rPr>
            <w:bCs/>
            <w:noProof/>
            <w:webHidden/>
          </w:rPr>
          <w:instrText xml:space="preserve"> PAGEREF _Toc138420945 \h </w:instrText>
        </w:r>
        <w:r w:rsidRPr="00925C35">
          <w:rPr>
            <w:bCs/>
            <w:noProof/>
            <w:webHidden/>
          </w:rPr>
        </w:r>
        <w:r w:rsidRPr="00925C35">
          <w:rPr>
            <w:bCs/>
            <w:noProof/>
            <w:webHidden/>
          </w:rPr>
          <w:fldChar w:fldCharType="separate"/>
        </w:r>
        <w:r w:rsidR="008617AF">
          <w:rPr>
            <w:bCs/>
            <w:noProof/>
            <w:webHidden/>
          </w:rPr>
          <w:t>15</w:t>
        </w:r>
        <w:r w:rsidRPr="00925C35">
          <w:rPr>
            <w:bCs/>
            <w:noProof/>
            <w:webHidden/>
          </w:rPr>
          <w:fldChar w:fldCharType="end"/>
        </w:r>
      </w:hyperlink>
    </w:p>
    <w:p w14:paraId="46084B4C" w14:textId="4B84F107" w:rsidR="00925C35" w:rsidRPr="00925C35" w:rsidRDefault="00925C35">
      <w:pPr>
        <w:pStyle w:val="ndice3"/>
        <w:tabs>
          <w:tab w:val="left" w:pos="1881"/>
        </w:tabs>
        <w:rPr>
          <w:rFonts w:asciiTheme="minorHAnsi" w:eastAsiaTheme="minorEastAsia" w:hAnsiTheme="minorHAnsi" w:cstheme="minorBidi"/>
          <w:bCs/>
          <w:noProof/>
          <w:sz w:val="22"/>
          <w:szCs w:val="22"/>
          <w:lang w:val="pt-PT" w:eastAsia="pt-PT"/>
        </w:rPr>
      </w:pPr>
      <w:hyperlink w:anchor="_Toc138420946" w:history="1">
        <w:r w:rsidRPr="00925C35">
          <w:rPr>
            <w:rStyle w:val="Hiperligao"/>
            <w:bCs/>
            <w:noProof/>
          </w:rPr>
          <w:t>4.1.2</w:t>
        </w:r>
        <w:r w:rsidRPr="00925C35">
          <w:rPr>
            <w:rFonts w:asciiTheme="minorHAnsi" w:eastAsiaTheme="minorEastAsia" w:hAnsiTheme="minorHAnsi" w:cstheme="minorBidi"/>
            <w:bCs/>
            <w:noProof/>
            <w:sz w:val="22"/>
            <w:szCs w:val="22"/>
            <w:lang w:val="pt-PT" w:eastAsia="pt-PT"/>
          </w:rPr>
          <w:tab/>
        </w:r>
        <w:r w:rsidRPr="00925C35">
          <w:rPr>
            <w:rStyle w:val="Hiperligao"/>
            <w:bCs/>
            <w:noProof/>
          </w:rPr>
          <w:t xml:space="preserve">Definição de </w:t>
        </w:r>
        <w:r w:rsidRPr="00925C35">
          <w:rPr>
            <w:rStyle w:val="Hiperligao"/>
            <w:bCs/>
            <w:i/>
            <w:noProof/>
          </w:rPr>
          <w:t>Scouting</w:t>
        </w:r>
        <w:r w:rsidRPr="00925C35">
          <w:rPr>
            <w:rStyle w:val="Hiperligao"/>
            <w:bCs/>
            <w:noProof/>
          </w:rPr>
          <w:t xml:space="preserve"> Tecnológico</w:t>
        </w:r>
        <w:r w:rsidRPr="00925C35">
          <w:rPr>
            <w:bCs/>
            <w:noProof/>
            <w:webHidden/>
          </w:rPr>
          <w:tab/>
        </w:r>
        <w:r w:rsidRPr="00925C35">
          <w:rPr>
            <w:bCs/>
            <w:noProof/>
            <w:webHidden/>
          </w:rPr>
          <w:fldChar w:fldCharType="begin"/>
        </w:r>
        <w:r w:rsidRPr="00925C35">
          <w:rPr>
            <w:bCs/>
            <w:noProof/>
            <w:webHidden/>
          </w:rPr>
          <w:instrText xml:space="preserve"> PAGEREF _Toc138420946 \h </w:instrText>
        </w:r>
        <w:r w:rsidRPr="00925C35">
          <w:rPr>
            <w:bCs/>
            <w:noProof/>
            <w:webHidden/>
          </w:rPr>
        </w:r>
        <w:r w:rsidRPr="00925C35">
          <w:rPr>
            <w:bCs/>
            <w:noProof/>
            <w:webHidden/>
          </w:rPr>
          <w:fldChar w:fldCharType="separate"/>
        </w:r>
        <w:r w:rsidR="008617AF">
          <w:rPr>
            <w:bCs/>
            <w:noProof/>
            <w:webHidden/>
          </w:rPr>
          <w:t>16</w:t>
        </w:r>
        <w:r w:rsidRPr="00925C35">
          <w:rPr>
            <w:bCs/>
            <w:noProof/>
            <w:webHidden/>
          </w:rPr>
          <w:fldChar w:fldCharType="end"/>
        </w:r>
      </w:hyperlink>
    </w:p>
    <w:p w14:paraId="473D7375" w14:textId="3D91FFAF" w:rsidR="00925C35" w:rsidRPr="00925C35" w:rsidRDefault="00925C35">
      <w:pPr>
        <w:pStyle w:val="ndice3"/>
        <w:tabs>
          <w:tab w:val="left" w:pos="1881"/>
        </w:tabs>
        <w:rPr>
          <w:rFonts w:asciiTheme="minorHAnsi" w:eastAsiaTheme="minorEastAsia" w:hAnsiTheme="minorHAnsi" w:cstheme="minorBidi"/>
          <w:bCs/>
          <w:noProof/>
          <w:sz w:val="22"/>
          <w:szCs w:val="22"/>
          <w:lang w:val="pt-PT" w:eastAsia="pt-PT"/>
        </w:rPr>
      </w:pPr>
      <w:hyperlink w:anchor="_Toc138420947" w:history="1">
        <w:r w:rsidRPr="00925C35">
          <w:rPr>
            <w:rStyle w:val="Hiperligao"/>
            <w:bCs/>
            <w:noProof/>
          </w:rPr>
          <w:t>4.1.3</w:t>
        </w:r>
        <w:r w:rsidRPr="00925C35">
          <w:rPr>
            <w:rFonts w:asciiTheme="minorHAnsi" w:eastAsiaTheme="minorEastAsia" w:hAnsiTheme="minorHAnsi" w:cstheme="minorBidi"/>
            <w:bCs/>
            <w:noProof/>
            <w:sz w:val="22"/>
            <w:szCs w:val="22"/>
            <w:lang w:val="pt-PT" w:eastAsia="pt-PT"/>
          </w:rPr>
          <w:tab/>
        </w:r>
        <w:r w:rsidRPr="00925C35">
          <w:rPr>
            <w:rStyle w:val="Hiperligao"/>
            <w:bCs/>
            <w:noProof/>
          </w:rPr>
          <w:t>Ferramentas de divulgação interna</w:t>
        </w:r>
        <w:r w:rsidRPr="00925C35">
          <w:rPr>
            <w:bCs/>
            <w:noProof/>
            <w:webHidden/>
          </w:rPr>
          <w:tab/>
        </w:r>
        <w:r w:rsidRPr="00925C35">
          <w:rPr>
            <w:bCs/>
            <w:noProof/>
            <w:webHidden/>
          </w:rPr>
          <w:fldChar w:fldCharType="begin"/>
        </w:r>
        <w:r w:rsidRPr="00925C35">
          <w:rPr>
            <w:bCs/>
            <w:noProof/>
            <w:webHidden/>
          </w:rPr>
          <w:instrText xml:space="preserve"> PAGEREF _Toc138420947 \h </w:instrText>
        </w:r>
        <w:r w:rsidRPr="00925C35">
          <w:rPr>
            <w:bCs/>
            <w:noProof/>
            <w:webHidden/>
          </w:rPr>
        </w:r>
        <w:r w:rsidRPr="00925C35">
          <w:rPr>
            <w:bCs/>
            <w:noProof/>
            <w:webHidden/>
          </w:rPr>
          <w:fldChar w:fldCharType="separate"/>
        </w:r>
        <w:r w:rsidR="008617AF">
          <w:rPr>
            <w:bCs/>
            <w:noProof/>
            <w:webHidden/>
          </w:rPr>
          <w:t>26</w:t>
        </w:r>
        <w:r w:rsidRPr="00925C35">
          <w:rPr>
            <w:bCs/>
            <w:noProof/>
            <w:webHidden/>
          </w:rPr>
          <w:fldChar w:fldCharType="end"/>
        </w:r>
      </w:hyperlink>
    </w:p>
    <w:p w14:paraId="1B8328F9" w14:textId="23C057D1" w:rsidR="00925C35" w:rsidRPr="00925C35" w:rsidRDefault="00925C35">
      <w:pPr>
        <w:pStyle w:val="ndice2"/>
        <w:rPr>
          <w:rFonts w:asciiTheme="minorHAnsi" w:eastAsiaTheme="minorEastAsia" w:hAnsiTheme="minorHAnsi" w:cstheme="minorBidi"/>
          <w:bCs/>
          <w:smallCaps w:val="0"/>
          <w:noProof/>
          <w:sz w:val="22"/>
          <w:szCs w:val="22"/>
          <w:lang w:val="pt-PT" w:eastAsia="pt-PT"/>
        </w:rPr>
      </w:pPr>
      <w:hyperlink w:anchor="_Toc138420948" w:history="1">
        <w:r w:rsidRPr="00925C35">
          <w:rPr>
            <w:rStyle w:val="Hiperligao"/>
            <w:bCs/>
            <w:smallCaps w:val="0"/>
            <w:noProof/>
          </w:rPr>
          <w:t>4.2</w:t>
        </w:r>
        <w:r w:rsidRPr="00925C35">
          <w:rPr>
            <w:rFonts w:asciiTheme="minorHAnsi" w:eastAsiaTheme="minorEastAsia" w:hAnsiTheme="minorHAnsi" w:cstheme="minorBidi"/>
            <w:bCs/>
            <w:smallCaps w:val="0"/>
            <w:noProof/>
            <w:sz w:val="22"/>
            <w:szCs w:val="22"/>
            <w:lang w:val="pt-PT" w:eastAsia="pt-PT"/>
          </w:rPr>
          <w:tab/>
        </w:r>
        <w:r w:rsidRPr="00925C35">
          <w:rPr>
            <w:rStyle w:val="Hiperligao"/>
            <w:bCs/>
            <w:smallCaps w:val="0"/>
            <w:noProof/>
          </w:rPr>
          <w:t>Avaliação preliminar do potencial e viabilidade de mercado da tecnologia</w:t>
        </w:r>
        <w:r w:rsidRPr="00925C35">
          <w:rPr>
            <w:bCs/>
            <w:smallCaps w:val="0"/>
            <w:noProof/>
            <w:webHidden/>
          </w:rPr>
          <w:tab/>
        </w:r>
        <w:r w:rsidRPr="00925C35">
          <w:rPr>
            <w:bCs/>
            <w:smallCaps w:val="0"/>
            <w:noProof/>
            <w:webHidden/>
          </w:rPr>
          <w:fldChar w:fldCharType="begin"/>
        </w:r>
        <w:r w:rsidRPr="00925C35">
          <w:rPr>
            <w:bCs/>
            <w:smallCaps w:val="0"/>
            <w:noProof/>
            <w:webHidden/>
          </w:rPr>
          <w:instrText xml:space="preserve"> PAGEREF _Toc138420948 \h </w:instrText>
        </w:r>
        <w:r w:rsidRPr="00925C35">
          <w:rPr>
            <w:bCs/>
            <w:smallCaps w:val="0"/>
            <w:noProof/>
            <w:webHidden/>
          </w:rPr>
        </w:r>
        <w:r w:rsidRPr="00925C35">
          <w:rPr>
            <w:bCs/>
            <w:smallCaps w:val="0"/>
            <w:noProof/>
            <w:webHidden/>
          </w:rPr>
          <w:fldChar w:fldCharType="separate"/>
        </w:r>
        <w:r w:rsidR="008617AF">
          <w:rPr>
            <w:bCs/>
            <w:smallCaps w:val="0"/>
            <w:noProof/>
            <w:webHidden/>
          </w:rPr>
          <w:t>27</w:t>
        </w:r>
        <w:r w:rsidRPr="00925C35">
          <w:rPr>
            <w:bCs/>
            <w:smallCaps w:val="0"/>
            <w:noProof/>
            <w:webHidden/>
          </w:rPr>
          <w:fldChar w:fldCharType="end"/>
        </w:r>
      </w:hyperlink>
    </w:p>
    <w:p w14:paraId="11C7874A" w14:textId="7F8470A9" w:rsidR="00925C35" w:rsidRPr="00925C35" w:rsidRDefault="00925C35">
      <w:pPr>
        <w:pStyle w:val="ndice3"/>
        <w:tabs>
          <w:tab w:val="left" w:pos="1881"/>
        </w:tabs>
        <w:rPr>
          <w:rFonts w:asciiTheme="minorHAnsi" w:eastAsiaTheme="minorEastAsia" w:hAnsiTheme="minorHAnsi" w:cstheme="minorBidi"/>
          <w:bCs/>
          <w:noProof/>
          <w:sz w:val="22"/>
          <w:szCs w:val="22"/>
          <w:lang w:val="pt-PT" w:eastAsia="pt-PT"/>
        </w:rPr>
      </w:pPr>
      <w:hyperlink w:anchor="_Toc138420949" w:history="1">
        <w:r w:rsidRPr="00925C35">
          <w:rPr>
            <w:rStyle w:val="Hiperligao"/>
            <w:bCs/>
            <w:noProof/>
          </w:rPr>
          <w:t>4.2.1</w:t>
        </w:r>
        <w:r w:rsidRPr="00925C35">
          <w:rPr>
            <w:rFonts w:asciiTheme="minorHAnsi" w:eastAsiaTheme="minorEastAsia" w:hAnsiTheme="minorHAnsi" w:cstheme="minorBidi"/>
            <w:bCs/>
            <w:noProof/>
            <w:sz w:val="22"/>
            <w:szCs w:val="22"/>
            <w:lang w:val="pt-PT" w:eastAsia="pt-PT"/>
          </w:rPr>
          <w:tab/>
        </w:r>
        <w:r w:rsidRPr="00925C35">
          <w:rPr>
            <w:rStyle w:val="Hiperligao"/>
            <w:bCs/>
            <w:noProof/>
          </w:rPr>
          <w:t>Plano de viabilidade tecnológica:</w:t>
        </w:r>
        <w:r w:rsidRPr="00925C35">
          <w:rPr>
            <w:bCs/>
            <w:noProof/>
            <w:webHidden/>
          </w:rPr>
          <w:tab/>
        </w:r>
        <w:r w:rsidRPr="00925C35">
          <w:rPr>
            <w:bCs/>
            <w:noProof/>
            <w:webHidden/>
          </w:rPr>
          <w:fldChar w:fldCharType="begin"/>
        </w:r>
        <w:r w:rsidRPr="00925C35">
          <w:rPr>
            <w:bCs/>
            <w:noProof/>
            <w:webHidden/>
          </w:rPr>
          <w:instrText xml:space="preserve"> PAGEREF _Toc138420949 \h </w:instrText>
        </w:r>
        <w:r w:rsidRPr="00925C35">
          <w:rPr>
            <w:bCs/>
            <w:noProof/>
            <w:webHidden/>
          </w:rPr>
        </w:r>
        <w:r w:rsidRPr="00925C35">
          <w:rPr>
            <w:bCs/>
            <w:noProof/>
            <w:webHidden/>
          </w:rPr>
          <w:fldChar w:fldCharType="separate"/>
        </w:r>
        <w:r w:rsidR="008617AF">
          <w:rPr>
            <w:bCs/>
            <w:noProof/>
            <w:webHidden/>
          </w:rPr>
          <w:t>30</w:t>
        </w:r>
        <w:r w:rsidRPr="00925C35">
          <w:rPr>
            <w:bCs/>
            <w:noProof/>
            <w:webHidden/>
          </w:rPr>
          <w:fldChar w:fldCharType="end"/>
        </w:r>
      </w:hyperlink>
    </w:p>
    <w:p w14:paraId="2E9DE984" w14:textId="200A9F5E" w:rsidR="00925C35" w:rsidRPr="00925C35" w:rsidRDefault="00925C35">
      <w:pPr>
        <w:pStyle w:val="ndice2"/>
        <w:rPr>
          <w:rFonts w:asciiTheme="minorHAnsi" w:eastAsiaTheme="minorEastAsia" w:hAnsiTheme="minorHAnsi" w:cstheme="minorBidi"/>
          <w:bCs/>
          <w:smallCaps w:val="0"/>
          <w:noProof/>
          <w:sz w:val="22"/>
          <w:szCs w:val="22"/>
          <w:lang w:val="pt-PT" w:eastAsia="pt-PT"/>
        </w:rPr>
      </w:pPr>
      <w:hyperlink w:anchor="_Toc138420950" w:history="1">
        <w:r w:rsidRPr="00925C35">
          <w:rPr>
            <w:rStyle w:val="Hiperligao"/>
            <w:bCs/>
            <w:smallCaps w:val="0"/>
            <w:noProof/>
          </w:rPr>
          <w:t>4.3</w:t>
        </w:r>
        <w:r w:rsidRPr="00925C35">
          <w:rPr>
            <w:rFonts w:asciiTheme="minorHAnsi" w:eastAsiaTheme="minorEastAsia" w:hAnsiTheme="minorHAnsi" w:cstheme="minorBidi"/>
            <w:bCs/>
            <w:smallCaps w:val="0"/>
            <w:noProof/>
            <w:sz w:val="22"/>
            <w:szCs w:val="22"/>
            <w:lang w:val="pt-PT" w:eastAsia="pt-PT"/>
          </w:rPr>
          <w:tab/>
        </w:r>
        <w:r w:rsidRPr="00925C35">
          <w:rPr>
            <w:rStyle w:val="Hiperligao"/>
            <w:bCs/>
            <w:smallCaps w:val="0"/>
            <w:noProof/>
          </w:rPr>
          <w:t>Proteção de ativos intelectuais</w:t>
        </w:r>
        <w:r w:rsidRPr="00925C35">
          <w:rPr>
            <w:bCs/>
            <w:smallCaps w:val="0"/>
            <w:noProof/>
            <w:webHidden/>
          </w:rPr>
          <w:tab/>
        </w:r>
        <w:r w:rsidRPr="00925C35">
          <w:rPr>
            <w:bCs/>
            <w:smallCaps w:val="0"/>
            <w:noProof/>
            <w:webHidden/>
          </w:rPr>
          <w:fldChar w:fldCharType="begin"/>
        </w:r>
        <w:r w:rsidRPr="00925C35">
          <w:rPr>
            <w:bCs/>
            <w:smallCaps w:val="0"/>
            <w:noProof/>
            <w:webHidden/>
          </w:rPr>
          <w:instrText xml:space="preserve"> PAGEREF _Toc138420950 \h </w:instrText>
        </w:r>
        <w:r w:rsidRPr="00925C35">
          <w:rPr>
            <w:bCs/>
            <w:smallCaps w:val="0"/>
            <w:noProof/>
            <w:webHidden/>
          </w:rPr>
        </w:r>
        <w:r w:rsidRPr="00925C35">
          <w:rPr>
            <w:bCs/>
            <w:smallCaps w:val="0"/>
            <w:noProof/>
            <w:webHidden/>
          </w:rPr>
          <w:fldChar w:fldCharType="separate"/>
        </w:r>
        <w:r w:rsidR="008617AF">
          <w:rPr>
            <w:bCs/>
            <w:smallCaps w:val="0"/>
            <w:noProof/>
            <w:webHidden/>
          </w:rPr>
          <w:t>37</w:t>
        </w:r>
        <w:r w:rsidRPr="00925C35">
          <w:rPr>
            <w:bCs/>
            <w:smallCaps w:val="0"/>
            <w:noProof/>
            <w:webHidden/>
          </w:rPr>
          <w:fldChar w:fldCharType="end"/>
        </w:r>
      </w:hyperlink>
    </w:p>
    <w:p w14:paraId="7B14394D" w14:textId="0E4A497B" w:rsidR="00925C35" w:rsidRPr="00925C35" w:rsidRDefault="00925C35">
      <w:pPr>
        <w:pStyle w:val="ndice3"/>
        <w:tabs>
          <w:tab w:val="left" w:pos="1881"/>
        </w:tabs>
        <w:rPr>
          <w:rFonts w:asciiTheme="minorHAnsi" w:eastAsiaTheme="minorEastAsia" w:hAnsiTheme="minorHAnsi" w:cstheme="minorBidi"/>
          <w:bCs/>
          <w:noProof/>
          <w:sz w:val="22"/>
          <w:szCs w:val="22"/>
          <w:lang w:val="pt-PT" w:eastAsia="pt-PT"/>
        </w:rPr>
      </w:pPr>
      <w:hyperlink w:anchor="_Toc138420951" w:history="1">
        <w:r w:rsidRPr="00925C35">
          <w:rPr>
            <w:rStyle w:val="Hiperligao"/>
            <w:bCs/>
            <w:noProof/>
          </w:rPr>
          <w:t>4.3.1</w:t>
        </w:r>
        <w:r w:rsidRPr="00925C35">
          <w:rPr>
            <w:rFonts w:asciiTheme="minorHAnsi" w:eastAsiaTheme="minorEastAsia" w:hAnsiTheme="minorHAnsi" w:cstheme="minorBidi"/>
            <w:bCs/>
            <w:noProof/>
            <w:sz w:val="22"/>
            <w:szCs w:val="22"/>
            <w:lang w:val="pt-PT" w:eastAsia="pt-PT"/>
          </w:rPr>
          <w:tab/>
        </w:r>
        <w:r w:rsidRPr="00925C35">
          <w:rPr>
            <w:rStyle w:val="Hiperligao"/>
            <w:bCs/>
            <w:noProof/>
          </w:rPr>
          <w:t>Definição de uma estratégia de proteção</w:t>
        </w:r>
        <w:r w:rsidRPr="00925C35">
          <w:rPr>
            <w:bCs/>
            <w:noProof/>
            <w:webHidden/>
          </w:rPr>
          <w:tab/>
        </w:r>
        <w:r w:rsidRPr="00925C35">
          <w:rPr>
            <w:bCs/>
            <w:noProof/>
            <w:webHidden/>
          </w:rPr>
          <w:fldChar w:fldCharType="begin"/>
        </w:r>
        <w:r w:rsidRPr="00925C35">
          <w:rPr>
            <w:bCs/>
            <w:noProof/>
            <w:webHidden/>
          </w:rPr>
          <w:instrText xml:space="preserve"> PAGEREF _Toc138420951 \h </w:instrText>
        </w:r>
        <w:r w:rsidRPr="00925C35">
          <w:rPr>
            <w:bCs/>
            <w:noProof/>
            <w:webHidden/>
          </w:rPr>
        </w:r>
        <w:r w:rsidRPr="00925C35">
          <w:rPr>
            <w:bCs/>
            <w:noProof/>
            <w:webHidden/>
          </w:rPr>
          <w:fldChar w:fldCharType="separate"/>
        </w:r>
        <w:r w:rsidR="008617AF">
          <w:rPr>
            <w:bCs/>
            <w:noProof/>
            <w:webHidden/>
          </w:rPr>
          <w:t>40</w:t>
        </w:r>
        <w:r w:rsidRPr="00925C35">
          <w:rPr>
            <w:bCs/>
            <w:noProof/>
            <w:webHidden/>
          </w:rPr>
          <w:fldChar w:fldCharType="end"/>
        </w:r>
      </w:hyperlink>
    </w:p>
    <w:p w14:paraId="51E742B2" w14:textId="1DDCE817" w:rsidR="00925C35" w:rsidRPr="00925C35" w:rsidRDefault="00925C35">
      <w:pPr>
        <w:pStyle w:val="ndice2"/>
        <w:rPr>
          <w:rFonts w:asciiTheme="minorHAnsi" w:eastAsiaTheme="minorEastAsia" w:hAnsiTheme="minorHAnsi" w:cstheme="minorBidi"/>
          <w:bCs/>
          <w:smallCaps w:val="0"/>
          <w:noProof/>
          <w:sz w:val="22"/>
          <w:szCs w:val="22"/>
          <w:lang w:val="pt-PT" w:eastAsia="pt-PT"/>
        </w:rPr>
      </w:pPr>
      <w:hyperlink w:anchor="_Toc138420952" w:history="1">
        <w:r w:rsidRPr="00925C35">
          <w:rPr>
            <w:rStyle w:val="Hiperligao"/>
            <w:bCs/>
            <w:smallCaps w:val="0"/>
            <w:noProof/>
          </w:rPr>
          <w:t>4.4</w:t>
        </w:r>
        <w:r w:rsidRPr="00925C35">
          <w:rPr>
            <w:rFonts w:asciiTheme="minorHAnsi" w:eastAsiaTheme="minorEastAsia" w:hAnsiTheme="minorHAnsi" w:cstheme="minorBidi"/>
            <w:bCs/>
            <w:smallCaps w:val="0"/>
            <w:noProof/>
            <w:sz w:val="22"/>
            <w:szCs w:val="22"/>
            <w:lang w:val="pt-PT" w:eastAsia="pt-PT"/>
          </w:rPr>
          <w:tab/>
        </w:r>
        <w:r w:rsidRPr="00925C35">
          <w:rPr>
            <w:rStyle w:val="Hiperligao"/>
            <w:bCs/>
            <w:smallCaps w:val="0"/>
            <w:noProof/>
          </w:rPr>
          <w:t>Avaliação económica de ativos de PI</w:t>
        </w:r>
        <w:r w:rsidRPr="00925C35">
          <w:rPr>
            <w:bCs/>
            <w:smallCaps w:val="0"/>
            <w:noProof/>
            <w:webHidden/>
          </w:rPr>
          <w:tab/>
        </w:r>
        <w:r w:rsidRPr="00925C35">
          <w:rPr>
            <w:bCs/>
            <w:smallCaps w:val="0"/>
            <w:noProof/>
            <w:webHidden/>
          </w:rPr>
          <w:fldChar w:fldCharType="begin"/>
        </w:r>
        <w:r w:rsidRPr="00925C35">
          <w:rPr>
            <w:bCs/>
            <w:smallCaps w:val="0"/>
            <w:noProof/>
            <w:webHidden/>
          </w:rPr>
          <w:instrText xml:space="preserve"> PAGEREF _Toc138420952 \h </w:instrText>
        </w:r>
        <w:r w:rsidRPr="00925C35">
          <w:rPr>
            <w:bCs/>
            <w:smallCaps w:val="0"/>
            <w:noProof/>
            <w:webHidden/>
          </w:rPr>
        </w:r>
        <w:r w:rsidRPr="00925C35">
          <w:rPr>
            <w:bCs/>
            <w:smallCaps w:val="0"/>
            <w:noProof/>
            <w:webHidden/>
          </w:rPr>
          <w:fldChar w:fldCharType="separate"/>
        </w:r>
        <w:r w:rsidR="008617AF">
          <w:rPr>
            <w:bCs/>
            <w:smallCaps w:val="0"/>
            <w:noProof/>
            <w:webHidden/>
          </w:rPr>
          <w:t>44</w:t>
        </w:r>
        <w:r w:rsidRPr="00925C35">
          <w:rPr>
            <w:bCs/>
            <w:smallCaps w:val="0"/>
            <w:noProof/>
            <w:webHidden/>
          </w:rPr>
          <w:fldChar w:fldCharType="end"/>
        </w:r>
      </w:hyperlink>
    </w:p>
    <w:p w14:paraId="2FF68D18" w14:textId="7C023F58" w:rsidR="00925C35" w:rsidRPr="00925C35" w:rsidRDefault="00925C35">
      <w:pPr>
        <w:pStyle w:val="ndice2"/>
        <w:rPr>
          <w:rFonts w:asciiTheme="minorHAnsi" w:eastAsiaTheme="minorEastAsia" w:hAnsiTheme="minorHAnsi" w:cstheme="minorBidi"/>
          <w:bCs/>
          <w:smallCaps w:val="0"/>
          <w:noProof/>
          <w:sz w:val="22"/>
          <w:szCs w:val="22"/>
          <w:lang w:val="pt-PT" w:eastAsia="pt-PT"/>
        </w:rPr>
      </w:pPr>
      <w:hyperlink w:anchor="_Toc138420953" w:history="1">
        <w:r w:rsidRPr="00925C35">
          <w:rPr>
            <w:rStyle w:val="Hiperligao"/>
            <w:bCs/>
            <w:smallCaps w:val="0"/>
            <w:noProof/>
          </w:rPr>
          <w:t>4.5</w:t>
        </w:r>
        <w:r w:rsidRPr="00925C35">
          <w:rPr>
            <w:rFonts w:asciiTheme="minorHAnsi" w:eastAsiaTheme="minorEastAsia" w:hAnsiTheme="minorHAnsi" w:cstheme="minorBidi"/>
            <w:bCs/>
            <w:smallCaps w:val="0"/>
            <w:noProof/>
            <w:sz w:val="22"/>
            <w:szCs w:val="22"/>
            <w:lang w:val="pt-PT" w:eastAsia="pt-PT"/>
          </w:rPr>
          <w:tab/>
        </w:r>
        <w:r w:rsidRPr="00925C35">
          <w:rPr>
            <w:rStyle w:val="Hiperligao"/>
            <w:bCs/>
            <w:smallCaps w:val="0"/>
            <w:noProof/>
          </w:rPr>
          <w:t>Comercialização de ativos de PI e transferência de tecnologia</w:t>
        </w:r>
        <w:r w:rsidRPr="00925C35">
          <w:rPr>
            <w:bCs/>
            <w:smallCaps w:val="0"/>
            <w:noProof/>
            <w:webHidden/>
          </w:rPr>
          <w:tab/>
        </w:r>
        <w:r w:rsidRPr="00925C35">
          <w:rPr>
            <w:bCs/>
            <w:smallCaps w:val="0"/>
            <w:noProof/>
            <w:webHidden/>
          </w:rPr>
          <w:fldChar w:fldCharType="begin"/>
        </w:r>
        <w:r w:rsidRPr="00925C35">
          <w:rPr>
            <w:bCs/>
            <w:smallCaps w:val="0"/>
            <w:noProof/>
            <w:webHidden/>
          </w:rPr>
          <w:instrText xml:space="preserve"> PAGEREF _Toc138420953 \h </w:instrText>
        </w:r>
        <w:r w:rsidRPr="00925C35">
          <w:rPr>
            <w:bCs/>
            <w:smallCaps w:val="0"/>
            <w:noProof/>
            <w:webHidden/>
          </w:rPr>
        </w:r>
        <w:r w:rsidRPr="00925C35">
          <w:rPr>
            <w:bCs/>
            <w:smallCaps w:val="0"/>
            <w:noProof/>
            <w:webHidden/>
          </w:rPr>
          <w:fldChar w:fldCharType="separate"/>
        </w:r>
        <w:r w:rsidR="008617AF">
          <w:rPr>
            <w:bCs/>
            <w:smallCaps w:val="0"/>
            <w:noProof/>
            <w:webHidden/>
          </w:rPr>
          <w:t>49</w:t>
        </w:r>
        <w:r w:rsidRPr="00925C35">
          <w:rPr>
            <w:bCs/>
            <w:smallCaps w:val="0"/>
            <w:noProof/>
            <w:webHidden/>
          </w:rPr>
          <w:fldChar w:fldCharType="end"/>
        </w:r>
      </w:hyperlink>
    </w:p>
    <w:p w14:paraId="208F90D0" w14:textId="5B654E87" w:rsidR="00925C35" w:rsidRPr="00925C35" w:rsidRDefault="00925C35">
      <w:pPr>
        <w:pStyle w:val="ndice3"/>
        <w:tabs>
          <w:tab w:val="left" w:pos="1881"/>
        </w:tabs>
        <w:rPr>
          <w:rFonts w:asciiTheme="minorHAnsi" w:eastAsiaTheme="minorEastAsia" w:hAnsiTheme="minorHAnsi" w:cstheme="minorBidi"/>
          <w:bCs/>
          <w:noProof/>
          <w:sz w:val="22"/>
          <w:szCs w:val="22"/>
          <w:lang w:val="pt-PT" w:eastAsia="pt-PT"/>
        </w:rPr>
      </w:pPr>
      <w:hyperlink w:anchor="_Toc138420954" w:history="1">
        <w:r w:rsidRPr="00925C35">
          <w:rPr>
            <w:rStyle w:val="Hiperligao"/>
            <w:bCs/>
            <w:noProof/>
          </w:rPr>
          <w:t>4.5.1</w:t>
        </w:r>
        <w:r w:rsidRPr="00925C35">
          <w:rPr>
            <w:rFonts w:asciiTheme="minorHAnsi" w:eastAsiaTheme="minorEastAsia" w:hAnsiTheme="minorHAnsi" w:cstheme="minorBidi"/>
            <w:bCs/>
            <w:noProof/>
            <w:sz w:val="22"/>
            <w:szCs w:val="22"/>
            <w:lang w:val="pt-PT" w:eastAsia="pt-PT"/>
          </w:rPr>
          <w:tab/>
        </w:r>
        <w:r w:rsidRPr="00925C35">
          <w:rPr>
            <w:rStyle w:val="Hiperligao"/>
            <w:bCs/>
            <w:noProof/>
          </w:rPr>
          <w:t>Tipologias de de transferência de tecnologia</w:t>
        </w:r>
        <w:r w:rsidRPr="00925C35">
          <w:rPr>
            <w:bCs/>
            <w:noProof/>
            <w:webHidden/>
          </w:rPr>
          <w:tab/>
        </w:r>
        <w:r w:rsidRPr="00925C35">
          <w:rPr>
            <w:bCs/>
            <w:noProof/>
            <w:webHidden/>
          </w:rPr>
          <w:fldChar w:fldCharType="begin"/>
        </w:r>
        <w:r w:rsidRPr="00925C35">
          <w:rPr>
            <w:bCs/>
            <w:noProof/>
            <w:webHidden/>
          </w:rPr>
          <w:instrText xml:space="preserve"> PAGEREF _Toc138420954 \h </w:instrText>
        </w:r>
        <w:r w:rsidRPr="00925C35">
          <w:rPr>
            <w:bCs/>
            <w:noProof/>
            <w:webHidden/>
          </w:rPr>
        </w:r>
        <w:r w:rsidRPr="00925C35">
          <w:rPr>
            <w:bCs/>
            <w:noProof/>
            <w:webHidden/>
          </w:rPr>
          <w:fldChar w:fldCharType="separate"/>
        </w:r>
        <w:r w:rsidR="008617AF">
          <w:rPr>
            <w:bCs/>
            <w:noProof/>
            <w:webHidden/>
          </w:rPr>
          <w:t>50</w:t>
        </w:r>
        <w:r w:rsidRPr="00925C35">
          <w:rPr>
            <w:bCs/>
            <w:noProof/>
            <w:webHidden/>
          </w:rPr>
          <w:fldChar w:fldCharType="end"/>
        </w:r>
      </w:hyperlink>
    </w:p>
    <w:p w14:paraId="3EB32CCA" w14:textId="22EB7C7E" w:rsidR="00925C35" w:rsidRPr="00925C35" w:rsidRDefault="00925C35">
      <w:pPr>
        <w:pStyle w:val="ndice1"/>
        <w:rPr>
          <w:rFonts w:asciiTheme="minorHAnsi" w:eastAsiaTheme="minorEastAsia" w:hAnsiTheme="minorHAnsi" w:cstheme="minorBidi"/>
          <w:b w:val="0"/>
          <w:bCs/>
          <w:kern w:val="0"/>
          <w:sz w:val="22"/>
          <w:szCs w:val="22"/>
          <w:lang w:val="pt-PT" w:eastAsia="pt-PT"/>
        </w:rPr>
      </w:pPr>
      <w:hyperlink w:anchor="_Toc138420955" w:history="1">
        <w:r w:rsidRPr="00925C35">
          <w:rPr>
            <w:rStyle w:val="Hiperligao"/>
            <w:b w:val="0"/>
            <w:bCs/>
          </w:rPr>
          <w:t>ANNEX I: FONTES E REFERÊNCIAS BIBLIOGRÁFICAS</w:t>
        </w:r>
        <w:r w:rsidRPr="00925C35">
          <w:rPr>
            <w:b w:val="0"/>
            <w:bCs/>
            <w:webHidden/>
          </w:rPr>
          <w:tab/>
        </w:r>
        <w:r w:rsidRPr="00925C35">
          <w:rPr>
            <w:b w:val="0"/>
            <w:bCs/>
            <w:webHidden/>
          </w:rPr>
          <w:fldChar w:fldCharType="begin"/>
        </w:r>
        <w:r w:rsidRPr="00925C35">
          <w:rPr>
            <w:b w:val="0"/>
            <w:bCs/>
            <w:webHidden/>
          </w:rPr>
          <w:instrText xml:space="preserve"> PAGEREF _Toc138420955 \h </w:instrText>
        </w:r>
        <w:r w:rsidRPr="00925C35">
          <w:rPr>
            <w:b w:val="0"/>
            <w:bCs/>
            <w:webHidden/>
          </w:rPr>
        </w:r>
        <w:r w:rsidRPr="00925C35">
          <w:rPr>
            <w:b w:val="0"/>
            <w:bCs/>
            <w:webHidden/>
          </w:rPr>
          <w:fldChar w:fldCharType="separate"/>
        </w:r>
        <w:r w:rsidR="008617AF">
          <w:rPr>
            <w:b w:val="0"/>
            <w:bCs/>
            <w:webHidden/>
          </w:rPr>
          <w:t>58</w:t>
        </w:r>
        <w:r w:rsidRPr="00925C35">
          <w:rPr>
            <w:b w:val="0"/>
            <w:bCs/>
            <w:webHidden/>
          </w:rPr>
          <w:fldChar w:fldCharType="end"/>
        </w:r>
      </w:hyperlink>
    </w:p>
    <w:p w14:paraId="7ACA282E" w14:textId="7350F58D" w:rsidR="00925C35" w:rsidRPr="00925C35" w:rsidRDefault="00925C35">
      <w:pPr>
        <w:pStyle w:val="ndice1"/>
        <w:rPr>
          <w:rFonts w:asciiTheme="minorHAnsi" w:eastAsiaTheme="minorEastAsia" w:hAnsiTheme="minorHAnsi" w:cstheme="minorBidi"/>
          <w:b w:val="0"/>
          <w:bCs/>
          <w:kern w:val="0"/>
          <w:sz w:val="22"/>
          <w:szCs w:val="22"/>
          <w:lang w:val="pt-PT" w:eastAsia="pt-PT"/>
        </w:rPr>
      </w:pPr>
      <w:hyperlink w:anchor="_Toc138420956" w:history="1">
        <w:r w:rsidRPr="00925C35">
          <w:rPr>
            <w:rStyle w:val="Hiperligao"/>
            <w:b w:val="0"/>
            <w:bCs/>
          </w:rPr>
          <w:t>DISCLAIMER</w:t>
        </w:r>
        <w:r w:rsidRPr="00925C35">
          <w:rPr>
            <w:b w:val="0"/>
            <w:bCs/>
            <w:webHidden/>
          </w:rPr>
          <w:tab/>
        </w:r>
        <w:r w:rsidRPr="00925C35">
          <w:rPr>
            <w:b w:val="0"/>
            <w:bCs/>
            <w:webHidden/>
          </w:rPr>
          <w:fldChar w:fldCharType="begin"/>
        </w:r>
        <w:r w:rsidRPr="00925C35">
          <w:rPr>
            <w:b w:val="0"/>
            <w:bCs/>
            <w:webHidden/>
          </w:rPr>
          <w:instrText xml:space="preserve"> PAGEREF _Toc138420956 \h </w:instrText>
        </w:r>
        <w:r w:rsidRPr="00925C35">
          <w:rPr>
            <w:b w:val="0"/>
            <w:bCs/>
            <w:webHidden/>
          </w:rPr>
        </w:r>
        <w:r w:rsidRPr="00925C35">
          <w:rPr>
            <w:b w:val="0"/>
            <w:bCs/>
            <w:webHidden/>
          </w:rPr>
          <w:fldChar w:fldCharType="separate"/>
        </w:r>
        <w:r w:rsidR="008617AF">
          <w:rPr>
            <w:b w:val="0"/>
            <w:bCs/>
            <w:webHidden/>
          </w:rPr>
          <w:t>63</w:t>
        </w:r>
        <w:r w:rsidRPr="00925C35">
          <w:rPr>
            <w:b w:val="0"/>
            <w:bCs/>
            <w:webHidden/>
          </w:rPr>
          <w:fldChar w:fldCharType="end"/>
        </w:r>
      </w:hyperlink>
    </w:p>
    <w:p w14:paraId="5929506D" w14:textId="38747502" w:rsidR="006D6313" w:rsidRPr="00FF7074" w:rsidRDefault="00E76F58" w:rsidP="00945AA2">
      <w:pPr>
        <w:pStyle w:val="ndiceremissivo1"/>
        <w:tabs>
          <w:tab w:val="right" w:leader="dot" w:pos="9072"/>
          <w:tab w:val="right" w:leader="dot" w:pos="9202"/>
        </w:tabs>
        <w:spacing w:before="0"/>
        <w:ind w:left="0" w:firstLine="0"/>
        <w:rPr>
          <w:rFonts w:asciiTheme="majorHAnsi" w:eastAsia="Arial Unicode MS" w:hAnsiTheme="majorHAnsi" w:cs="Arial"/>
          <w:b/>
          <w:bCs/>
          <w:color w:val="0033FF" w:themeColor="accent2"/>
          <w:kern w:val="32"/>
          <w:sz w:val="6"/>
          <w:szCs w:val="6"/>
          <w:lang w:val="pt-PT" w:eastAsia="es-ES_tradnl"/>
        </w:rPr>
      </w:pPr>
      <w:r w:rsidRPr="006A61F2">
        <w:rPr>
          <w:rFonts w:cstheme="minorHAnsi"/>
          <w:bCs/>
          <w:color w:val="D42E12"/>
          <w:u w:val="single"/>
          <w:lang w:val="pt-PT"/>
        </w:rPr>
        <w:fldChar w:fldCharType="end"/>
      </w:r>
    </w:p>
    <w:p w14:paraId="0E66C1CE" w14:textId="77777777" w:rsidR="000F0659" w:rsidRPr="00FF7074" w:rsidRDefault="000F0659">
      <w:pPr>
        <w:spacing w:before="0" w:after="0" w:line="240" w:lineRule="auto"/>
        <w:ind w:firstLine="0"/>
        <w:jc w:val="left"/>
        <w:rPr>
          <w:rFonts w:asciiTheme="minorHAnsi" w:eastAsia="Arial Unicode MS" w:hAnsiTheme="minorHAnsi" w:cs="Arial"/>
          <w:color w:val="0033FF" w:themeColor="accent2"/>
          <w:kern w:val="32"/>
          <w:sz w:val="32"/>
          <w:szCs w:val="24"/>
          <w:lang w:val="pt-PT" w:eastAsia="es-ES_tradnl"/>
        </w:rPr>
      </w:pPr>
      <w:r w:rsidRPr="00FF7074">
        <w:rPr>
          <w:lang w:val="pt-PT"/>
        </w:rPr>
        <w:br w:type="page"/>
      </w:r>
    </w:p>
    <w:p w14:paraId="746FBF03" w14:textId="657D2E51" w:rsidR="004E701F" w:rsidRPr="009543F4" w:rsidRDefault="00EA03AD" w:rsidP="009543F4">
      <w:pPr>
        <w:pStyle w:val="Ttulo1"/>
      </w:pPr>
      <w:bookmarkStart w:id="19" w:name="_Toc138420934"/>
      <w:r w:rsidRPr="009543F4">
        <w:lastRenderedPageBreak/>
        <w:t>INTRODUÇÃO</w:t>
      </w:r>
      <w:bookmarkEnd w:id="19"/>
    </w:p>
    <w:p w14:paraId="32A5A505" w14:textId="77777777" w:rsidR="005B317A" w:rsidRPr="00FF7074" w:rsidRDefault="005B317A" w:rsidP="001E78DB">
      <w:pPr>
        <w:pStyle w:val="PargrafodaLista"/>
        <w:ind w:left="0" w:firstLine="0"/>
        <w:rPr>
          <w:rFonts w:eastAsia="Verdana" w:cs="Verdana"/>
          <w:lang w:val="pt-PT" w:eastAsia="pt-PT"/>
        </w:rPr>
      </w:pPr>
      <w:r w:rsidRPr="00FF7074">
        <w:rPr>
          <w:rFonts w:eastAsia="Verdana" w:cs="Verdana"/>
          <w:lang w:val="pt-PT" w:eastAsia="pt-PT"/>
        </w:rPr>
        <w:t>A transferência de conhecimento, ou de tecnologia, é definida pela Organização Mundial da Propriedade Intelectual (OMPI) como "um processo colaborativo que permite que descobertas científicas, conhecimento e propriedade intelectual fluam dos criadores, como universidades e institutos de pesquisa, para utilizadores públicos e privados" (OMPI, [</w:t>
      </w:r>
      <w:proofErr w:type="spellStart"/>
      <w:r w:rsidRPr="00FF7074">
        <w:rPr>
          <w:rFonts w:eastAsia="Verdana" w:cs="Verdana"/>
          <w:lang w:val="pt-PT" w:eastAsia="pt-PT"/>
        </w:rPr>
        <w:t>s.d</w:t>
      </w:r>
      <w:proofErr w:type="spellEnd"/>
      <w:r w:rsidRPr="00FF7074">
        <w:rPr>
          <w:rFonts w:eastAsia="Verdana" w:cs="Verdana"/>
          <w:lang w:val="pt-PT" w:eastAsia="pt-PT"/>
        </w:rPr>
        <w:t>.]). Essa é uma etapa crucial para levar os resultados da Investigação e Desenvolvimento (I&amp;D), frequentemente financiados por fundos públicos, à sociedade.</w:t>
      </w:r>
    </w:p>
    <w:p w14:paraId="17B86D5C" w14:textId="6CF8D7D4" w:rsidR="005B317A" w:rsidRPr="00FF7074" w:rsidRDefault="005B317A" w:rsidP="001E78DB">
      <w:pPr>
        <w:pStyle w:val="PargrafodaLista"/>
        <w:ind w:left="0" w:firstLine="0"/>
        <w:rPr>
          <w:rFonts w:eastAsia="Verdana" w:cs="Verdana"/>
          <w:lang w:val="pt-PT" w:eastAsia="pt-PT"/>
        </w:rPr>
      </w:pPr>
      <w:r w:rsidRPr="00FF7074">
        <w:rPr>
          <w:rFonts w:eastAsia="Verdana" w:cs="Verdana"/>
          <w:lang w:val="pt-PT" w:eastAsia="pt-PT"/>
        </w:rPr>
        <w:t xml:space="preserve">O ecossistema dos Estados Unidos (US) foi pioneiro na crescente onda de transferência de conhecimento da academia para a indústria e para a sociedade a partir dos anos 1980 (MOWERY </w:t>
      </w:r>
      <w:proofErr w:type="spellStart"/>
      <w:r w:rsidRPr="00FF7074">
        <w:rPr>
          <w:rFonts w:eastAsia="Verdana" w:cs="Verdana"/>
          <w:lang w:val="pt-PT" w:eastAsia="pt-PT"/>
        </w:rPr>
        <w:t>et</w:t>
      </w:r>
      <w:proofErr w:type="spellEnd"/>
      <w:r w:rsidRPr="00FF7074">
        <w:rPr>
          <w:rFonts w:eastAsia="Verdana" w:cs="Verdana"/>
          <w:lang w:val="pt-PT" w:eastAsia="pt-PT"/>
        </w:rPr>
        <w:t xml:space="preserve"> al, 1999). Esse fenómeno coincidiu com a entrada em vigor do </w:t>
      </w:r>
      <w:proofErr w:type="spellStart"/>
      <w:r w:rsidRPr="00FF7074">
        <w:rPr>
          <w:rFonts w:eastAsia="Verdana" w:cs="Verdana"/>
          <w:lang w:val="pt-PT" w:eastAsia="pt-PT"/>
        </w:rPr>
        <w:t>University</w:t>
      </w:r>
      <w:proofErr w:type="spellEnd"/>
      <w:r w:rsidRPr="00FF7074">
        <w:rPr>
          <w:rFonts w:eastAsia="Verdana" w:cs="Verdana"/>
          <w:lang w:val="pt-PT" w:eastAsia="pt-PT"/>
        </w:rPr>
        <w:t xml:space="preserve"> </w:t>
      </w:r>
      <w:proofErr w:type="spellStart"/>
      <w:r w:rsidRPr="00FF7074">
        <w:rPr>
          <w:rFonts w:eastAsia="Verdana" w:cs="Verdana"/>
          <w:lang w:val="pt-PT" w:eastAsia="pt-PT"/>
        </w:rPr>
        <w:t>and</w:t>
      </w:r>
      <w:proofErr w:type="spellEnd"/>
      <w:r w:rsidRPr="00FF7074">
        <w:rPr>
          <w:rFonts w:eastAsia="Verdana" w:cs="Verdana"/>
          <w:lang w:val="pt-PT" w:eastAsia="pt-PT"/>
        </w:rPr>
        <w:t xml:space="preserve"> </w:t>
      </w:r>
      <w:proofErr w:type="spellStart"/>
      <w:r w:rsidRPr="00FF7074">
        <w:rPr>
          <w:rFonts w:eastAsia="Verdana" w:cs="Verdana"/>
          <w:lang w:val="pt-PT" w:eastAsia="pt-PT"/>
        </w:rPr>
        <w:t>Small</w:t>
      </w:r>
      <w:proofErr w:type="spellEnd"/>
      <w:r w:rsidRPr="00FF7074">
        <w:rPr>
          <w:rFonts w:eastAsia="Verdana" w:cs="Verdana"/>
          <w:lang w:val="pt-PT" w:eastAsia="pt-PT"/>
        </w:rPr>
        <w:t xml:space="preserve"> Business </w:t>
      </w:r>
      <w:proofErr w:type="spellStart"/>
      <w:r w:rsidRPr="00FF7074">
        <w:rPr>
          <w:rFonts w:eastAsia="Verdana" w:cs="Verdana"/>
          <w:lang w:val="pt-PT" w:eastAsia="pt-PT"/>
        </w:rPr>
        <w:t>Patent</w:t>
      </w:r>
      <w:proofErr w:type="spellEnd"/>
      <w:r w:rsidRPr="00FF7074">
        <w:rPr>
          <w:rFonts w:eastAsia="Verdana" w:cs="Verdana"/>
          <w:lang w:val="pt-PT" w:eastAsia="pt-PT"/>
        </w:rPr>
        <w:t xml:space="preserve"> </w:t>
      </w:r>
      <w:proofErr w:type="spellStart"/>
      <w:r w:rsidRPr="00FF7074">
        <w:rPr>
          <w:rFonts w:eastAsia="Verdana" w:cs="Verdana"/>
          <w:lang w:val="pt-PT" w:eastAsia="pt-PT"/>
        </w:rPr>
        <w:t>Procedure</w:t>
      </w:r>
      <w:proofErr w:type="spellEnd"/>
      <w:r w:rsidRPr="00FF7074">
        <w:rPr>
          <w:rFonts w:eastAsia="Verdana" w:cs="Verdana"/>
          <w:lang w:val="pt-PT" w:eastAsia="pt-PT"/>
        </w:rPr>
        <w:t xml:space="preserve"> </w:t>
      </w:r>
      <w:proofErr w:type="spellStart"/>
      <w:r w:rsidRPr="00FF7074">
        <w:rPr>
          <w:rFonts w:eastAsia="Verdana" w:cs="Verdana"/>
          <w:lang w:val="pt-PT" w:eastAsia="pt-PT"/>
        </w:rPr>
        <w:t>Act</w:t>
      </w:r>
      <w:proofErr w:type="spellEnd"/>
      <w:r w:rsidRPr="00FF7074">
        <w:rPr>
          <w:rFonts w:eastAsia="Verdana" w:cs="Verdana"/>
          <w:lang w:val="pt-PT" w:eastAsia="pt-PT"/>
        </w:rPr>
        <w:t xml:space="preserve">, mais conhecido como </w:t>
      </w:r>
      <w:proofErr w:type="spellStart"/>
      <w:r w:rsidRPr="00FF7074">
        <w:rPr>
          <w:rFonts w:eastAsia="Verdana" w:cs="Verdana"/>
          <w:lang w:val="pt-PT" w:eastAsia="pt-PT"/>
        </w:rPr>
        <w:t>Bayh</w:t>
      </w:r>
      <w:proofErr w:type="spellEnd"/>
      <w:r w:rsidRPr="00FF7074">
        <w:rPr>
          <w:rFonts w:eastAsia="Verdana" w:cs="Verdana"/>
          <w:lang w:val="pt-PT" w:eastAsia="pt-PT"/>
        </w:rPr>
        <w:t xml:space="preserve">-Dole </w:t>
      </w:r>
      <w:proofErr w:type="spellStart"/>
      <w:r w:rsidRPr="00FF7074">
        <w:rPr>
          <w:rFonts w:eastAsia="Verdana" w:cs="Verdana"/>
          <w:lang w:val="pt-PT" w:eastAsia="pt-PT"/>
        </w:rPr>
        <w:t>Act</w:t>
      </w:r>
      <w:proofErr w:type="spellEnd"/>
      <w:r w:rsidRPr="00FF7074">
        <w:rPr>
          <w:rFonts w:eastAsia="Verdana" w:cs="Verdana"/>
          <w:lang w:val="pt-PT" w:eastAsia="pt-PT"/>
        </w:rPr>
        <w:t xml:space="preserve">, nos Estados Unidos </w:t>
      </w:r>
      <w:r w:rsidR="002A3013">
        <w:rPr>
          <w:rFonts w:eastAsia="Verdana" w:cs="Verdana"/>
          <w:lang w:val="pt-PT" w:eastAsia="pt-PT"/>
        </w:rPr>
        <w:t xml:space="preserve">(EUA) </w:t>
      </w:r>
      <w:r w:rsidRPr="00FF7074">
        <w:rPr>
          <w:rFonts w:eastAsia="Verdana" w:cs="Verdana"/>
          <w:lang w:val="pt-PT" w:eastAsia="pt-PT"/>
        </w:rPr>
        <w:t>em 1981, que transferiu os direitos de propriedade intelectual concebidos com financiamento das agências financiadoras para as Instituições de Ensino Superior (IES) (STEVENS, 2004).  Isso permitiu que as instituições explorassem comercialmente os resultados de suas investigações (THURSBY; THURSBY, 2003).</w:t>
      </w:r>
    </w:p>
    <w:p w14:paraId="19483346" w14:textId="0259D865" w:rsidR="005B317A" w:rsidRPr="00FF7074" w:rsidRDefault="005B317A" w:rsidP="001E78DB">
      <w:pPr>
        <w:pStyle w:val="PargrafodaLista"/>
        <w:ind w:left="0" w:firstLine="0"/>
        <w:rPr>
          <w:rFonts w:eastAsia="Verdana" w:cs="Verdana"/>
          <w:lang w:val="pt-PT" w:eastAsia="pt-PT"/>
        </w:rPr>
      </w:pPr>
      <w:r w:rsidRPr="00FF7074">
        <w:rPr>
          <w:rFonts w:eastAsia="Verdana" w:cs="Verdana"/>
          <w:lang w:val="pt-PT" w:eastAsia="pt-PT"/>
        </w:rPr>
        <w:t xml:space="preserve">Antes da implementação do </w:t>
      </w:r>
      <w:proofErr w:type="spellStart"/>
      <w:r w:rsidRPr="00FF7074">
        <w:rPr>
          <w:rFonts w:eastAsia="Verdana" w:cs="Verdana"/>
          <w:lang w:val="pt-PT" w:eastAsia="pt-PT"/>
        </w:rPr>
        <w:t>Bayh</w:t>
      </w:r>
      <w:proofErr w:type="spellEnd"/>
      <w:r w:rsidRPr="00FF7074">
        <w:rPr>
          <w:rFonts w:eastAsia="Verdana" w:cs="Verdana"/>
          <w:lang w:val="pt-PT" w:eastAsia="pt-PT"/>
        </w:rPr>
        <w:t xml:space="preserve">-Dole </w:t>
      </w:r>
      <w:proofErr w:type="spellStart"/>
      <w:r w:rsidRPr="00FF7074">
        <w:rPr>
          <w:rFonts w:eastAsia="Verdana" w:cs="Verdana"/>
          <w:lang w:val="pt-PT" w:eastAsia="pt-PT"/>
        </w:rPr>
        <w:t>Act</w:t>
      </w:r>
      <w:proofErr w:type="spellEnd"/>
      <w:r w:rsidRPr="00FF7074">
        <w:rPr>
          <w:rFonts w:eastAsia="Verdana" w:cs="Verdana"/>
          <w:lang w:val="pt-PT" w:eastAsia="pt-PT"/>
        </w:rPr>
        <w:t xml:space="preserve">, poucas universidades procuravam a proteção através da patente, visto que a proteção tinha um alto custo fixo e a comercialização de tecnologias financiadas com recursos governamentais era limitada. O </w:t>
      </w:r>
      <w:proofErr w:type="spellStart"/>
      <w:r w:rsidRPr="00FF7074">
        <w:rPr>
          <w:rFonts w:eastAsia="Verdana" w:cs="Verdana"/>
          <w:lang w:val="pt-PT" w:eastAsia="pt-PT"/>
        </w:rPr>
        <w:t>Bayh</w:t>
      </w:r>
      <w:proofErr w:type="spellEnd"/>
      <w:r w:rsidRPr="00FF7074">
        <w:rPr>
          <w:rFonts w:eastAsia="Verdana" w:cs="Verdana"/>
          <w:lang w:val="pt-PT" w:eastAsia="pt-PT"/>
        </w:rPr>
        <w:t xml:space="preserve">-Dole </w:t>
      </w:r>
      <w:proofErr w:type="spellStart"/>
      <w:r w:rsidRPr="00FF7074">
        <w:rPr>
          <w:rFonts w:eastAsia="Verdana" w:cs="Verdana"/>
          <w:lang w:val="pt-PT" w:eastAsia="pt-PT"/>
        </w:rPr>
        <w:t>Act</w:t>
      </w:r>
      <w:proofErr w:type="spellEnd"/>
      <w:r w:rsidRPr="00FF7074">
        <w:rPr>
          <w:rFonts w:eastAsia="Verdana" w:cs="Verdana"/>
          <w:lang w:val="pt-PT" w:eastAsia="pt-PT"/>
        </w:rPr>
        <w:t xml:space="preserve"> abriu novas possibilidades para as IES explorarem a transferência de tecnologia de forma mais ampla (</w:t>
      </w:r>
      <w:r w:rsidRPr="00FF7074">
        <w:rPr>
          <w:rFonts w:eastAsia="Verdana" w:cs="Verdana"/>
          <w:caps/>
          <w:lang w:val="pt-PT" w:eastAsia="pt-PT"/>
        </w:rPr>
        <w:t>Rafferty</w:t>
      </w:r>
      <w:r w:rsidRPr="00FF7074">
        <w:rPr>
          <w:rFonts w:eastAsia="Verdana" w:cs="Verdana"/>
          <w:lang w:val="pt-PT" w:eastAsia="pt-PT"/>
        </w:rPr>
        <w:t xml:space="preserve">, 2008). Por esse motivo, o ecossistema de inovação dos </w:t>
      </w:r>
      <w:r w:rsidR="002A3013">
        <w:rPr>
          <w:rFonts w:eastAsia="Verdana" w:cs="Verdana"/>
          <w:lang w:val="pt-PT" w:eastAsia="pt-PT"/>
        </w:rPr>
        <w:t>EUA</w:t>
      </w:r>
      <w:r w:rsidRPr="00FF7074">
        <w:rPr>
          <w:rFonts w:eastAsia="Verdana" w:cs="Verdana"/>
          <w:lang w:val="pt-PT" w:eastAsia="pt-PT"/>
        </w:rPr>
        <w:t xml:space="preserve"> é uma referência para análises comparativas de modelos operacionais que favorecem a transição do conhecimento produzido na academia para a sociedade (MOWERY; SAMPAT, 2004; GRAFF </w:t>
      </w:r>
      <w:proofErr w:type="spellStart"/>
      <w:r w:rsidRPr="00FF7074">
        <w:rPr>
          <w:rFonts w:eastAsia="Verdana" w:cs="Verdana"/>
          <w:lang w:val="pt-PT" w:eastAsia="pt-PT"/>
        </w:rPr>
        <w:t>et</w:t>
      </w:r>
      <w:proofErr w:type="spellEnd"/>
      <w:r w:rsidRPr="00FF7074">
        <w:rPr>
          <w:rFonts w:eastAsia="Verdana" w:cs="Verdana"/>
          <w:lang w:val="pt-PT" w:eastAsia="pt-PT"/>
        </w:rPr>
        <w:t xml:space="preserve"> al., 2004; SO </w:t>
      </w:r>
      <w:proofErr w:type="spellStart"/>
      <w:r w:rsidRPr="00FF7074">
        <w:rPr>
          <w:rFonts w:eastAsia="Verdana" w:cs="Verdana"/>
          <w:lang w:val="pt-PT" w:eastAsia="pt-PT"/>
        </w:rPr>
        <w:t>et</w:t>
      </w:r>
      <w:proofErr w:type="spellEnd"/>
      <w:r w:rsidRPr="00FF7074">
        <w:rPr>
          <w:rFonts w:eastAsia="Verdana" w:cs="Verdana"/>
          <w:lang w:val="pt-PT" w:eastAsia="pt-PT"/>
        </w:rPr>
        <w:t xml:space="preserve"> al., 2008; GORES </w:t>
      </w:r>
      <w:proofErr w:type="spellStart"/>
      <w:r w:rsidRPr="00FF7074">
        <w:rPr>
          <w:rFonts w:eastAsia="Verdana" w:cs="Verdana"/>
          <w:lang w:val="pt-PT" w:eastAsia="pt-PT"/>
        </w:rPr>
        <w:t>et</w:t>
      </w:r>
      <w:proofErr w:type="spellEnd"/>
      <w:r w:rsidRPr="00FF7074">
        <w:rPr>
          <w:rFonts w:eastAsia="Verdana" w:cs="Verdana"/>
          <w:lang w:val="pt-PT" w:eastAsia="pt-PT"/>
        </w:rPr>
        <w:t xml:space="preserve"> al., 2021).</w:t>
      </w:r>
    </w:p>
    <w:p w14:paraId="01E3B789" w14:textId="77777777" w:rsidR="005B317A" w:rsidRPr="00FF7074" w:rsidRDefault="005B317A" w:rsidP="001E78DB">
      <w:pPr>
        <w:pStyle w:val="PargrafodaLista"/>
        <w:ind w:left="0" w:firstLine="0"/>
        <w:rPr>
          <w:rFonts w:eastAsia="Verdana" w:cs="Verdana"/>
          <w:lang w:val="pt-PT" w:eastAsia="pt-PT"/>
        </w:rPr>
      </w:pPr>
      <w:r w:rsidRPr="00FF7074">
        <w:rPr>
          <w:rFonts w:eastAsia="Verdana" w:cs="Verdana"/>
          <w:lang w:val="pt-PT" w:eastAsia="pt-PT"/>
        </w:rPr>
        <w:t xml:space="preserve">Essa mudança permitiu que as IES tivessem mais controlo sobre os resultados das atividades de I&amp;D e, consequentemente, maior capacidade de comercialização (MOWERY </w:t>
      </w:r>
      <w:proofErr w:type="spellStart"/>
      <w:r w:rsidRPr="00FF7074">
        <w:rPr>
          <w:rFonts w:eastAsia="Verdana" w:cs="Verdana"/>
          <w:lang w:val="pt-PT" w:eastAsia="pt-PT"/>
        </w:rPr>
        <w:t>et</w:t>
      </w:r>
      <w:proofErr w:type="spellEnd"/>
      <w:r w:rsidRPr="00FF7074">
        <w:rPr>
          <w:rFonts w:eastAsia="Verdana" w:cs="Verdana"/>
          <w:lang w:val="pt-PT" w:eastAsia="pt-PT"/>
        </w:rPr>
        <w:t xml:space="preserve"> al, 2001; THURSBY; KEMP, 2002; MOWERY </w:t>
      </w:r>
      <w:proofErr w:type="spellStart"/>
      <w:r w:rsidRPr="00FF7074">
        <w:rPr>
          <w:rFonts w:eastAsia="Verdana" w:cs="Verdana"/>
          <w:lang w:val="pt-PT" w:eastAsia="pt-PT"/>
        </w:rPr>
        <w:t>et</w:t>
      </w:r>
      <w:proofErr w:type="spellEnd"/>
      <w:r w:rsidRPr="00FF7074">
        <w:rPr>
          <w:rFonts w:eastAsia="Verdana" w:cs="Verdana"/>
          <w:lang w:val="pt-PT" w:eastAsia="pt-PT"/>
        </w:rPr>
        <w:t xml:space="preserve"> al, 2015). Com a possibilidade de obter lucros a partir da exploração comercial das suas inovações, as IES passaram a ter incentivos para procurar a proteção por patentes e investir na transferência de conhecimento para o setor privado (LINK; VAN HASSELT, 2019).</w:t>
      </w:r>
    </w:p>
    <w:p w14:paraId="6CCA8DA7" w14:textId="01FC81A5" w:rsidR="00A574C5" w:rsidRPr="00FF7074" w:rsidRDefault="00A20143" w:rsidP="00BB1487">
      <w:pPr>
        <w:pStyle w:val="PargrafodaLista"/>
        <w:ind w:left="0" w:firstLine="0"/>
        <w:rPr>
          <w:rFonts w:eastAsia="Verdana" w:cs="Verdana"/>
          <w:lang w:val="pt-PT" w:eastAsia="pt-PT"/>
        </w:rPr>
      </w:pPr>
      <w:r>
        <w:rPr>
          <w:rFonts w:eastAsia="Verdana" w:cs="Verdana"/>
          <w:lang w:val="pt-PT" w:eastAsia="pt-PT"/>
        </w:rPr>
        <w:t>Em</w:t>
      </w:r>
      <w:r w:rsidR="005B317A" w:rsidRPr="00FF7074">
        <w:rPr>
          <w:rFonts w:eastAsia="Verdana" w:cs="Verdana"/>
          <w:lang w:val="pt-PT" w:eastAsia="pt-PT"/>
        </w:rPr>
        <w:t xml:space="preserve"> segui</w:t>
      </w:r>
      <w:r>
        <w:rPr>
          <w:rFonts w:eastAsia="Verdana" w:cs="Verdana"/>
          <w:lang w:val="pt-PT" w:eastAsia="pt-PT"/>
        </w:rPr>
        <w:t xml:space="preserve">da, </w:t>
      </w:r>
      <w:r w:rsidR="005B317A" w:rsidRPr="00FF7074">
        <w:rPr>
          <w:rFonts w:eastAsia="Verdana" w:cs="Verdana"/>
          <w:lang w:val="pt-PT" w:eastAsia="pt-PT"/>
        </w:rPr>
        <w:t>apresenta</w:t>
      </w:r>
      <w:r w:rsidR="00465B8F">
        <w:rPr>
          <w:rFonts w:eastAsia="Verdana" w:cs="Verdana"/>
          <w:lang w:val="pt-PT" w:eastAsia="pt-PT"/>
        </w:rPr>
        <w:t>m</w:t>
      </w:r>
      <w:r w:rsidR="005B317A" w:rsidRPr="00FF7074">
        <w:rPr>
          <w:rFonts w:eastAsia="Verdana" w:cs="Verdana"/>
          <w:lang w:val="pt-PT" w:eastAsia="pt-PT"/>
        </w:rPr>
        <w:t xml:space="preserve">-se </w:t>
      </w:r>
      <w:r w:rsidR="00915E3E">
        <w:rPr>
          <w:rFonts w:eastAsia="Verdana" w:cs="Verdana"/>
          <w:lang w:val="pt-PT" w:eastAsia="pt-PT"/>
        </w:rPr>
        <w:t xml:space="preserve">modelos de Transferência de Tecnologia </w:t>
      </w:r>
      <w:r w:rsidR="00314F3B">
        <w:rPr>
          <w:rFonts w:eastAsia="Verdana" w:cs="Verdana"/>
          <w:lang w:val="pt-PT" w:eastAsia="pt-PT"/>
        </w:rPr>
        <w:t>de universidades de referência dos</w:t>
      </w:r>
      <w:r w:rsidR="00795637">
        <w:rPr>
          <w:rFonts w:eastAsia="Verdana" w:cs="Verdana"/>
          <w:lang w:val="pt-PT" w:eastAsia="pt-PT"/>
        </w:rPr>
        <w:t xml:space="preserve"> EU</w:t>
      </w:r>
      <w:r w:rsidR="000E31B5">
        <w:rPr>
          <w:rFonts w:eastAsia="Verdana" w:cs="Verdana"/>
          <w:lang w:val="pt-PT" w:eastAsia="pt-PT"/>
        </w:rPr>
        <w:t>A</w:t>
      </w:r>
      <w:r w:rsidR="000F2272">
        <w:rPr>
          <w:rFonts w:eastAsia="Verdana" w:cs="Verdana"/>
          <w:lang w:val="pt-PT" w:eastAsia="pt-PT"/>
        </w:rPr>
        <w:t xml:space="preserve"> que </w:t>
      </w:r>
      <w:r w:rsidR="002D645F">
        <w:rPr>
          <w:rFonts w:eastAsia="Verdana" w:cs="Verdana"/>
          <w:lang w:val="pt-PT" w:eastAsia="pt-PT"/>
        </w:rPr>
        <w:t>resulta</w:t>
      </w:r>
      <w:r w:rsidR="000F2272">
        <w:rPr>
          <w:rFonts w:eastAsia="Verdana" w:cs="Verdana"/>
          <w:lang w:val="pt-PT" w:eastAsia="pt-PT"/>
        </w:rPr>
        <w:t xml:space="preserve">m </w:t>
      </w:r>
      <w:r w:rsidR="005B317A" w:rsidRPr="00FF7074">
        <w:rPr>
          <w:rFonts w:eastAsia="Verdana" w:cs="Verdana"/>
          <w:lang w:val="pt-PT" w:eastAsia="pt-PT"/>
        </w:rPr>
        <w:t xml:space="preserve">de políticas de inovação estabelecidas pelo governo central estadunidense a fim de promover a interação entre academia e indústrias. Tais políticas tiveram impacto direto no estabelecimento e amadurecimento dos Gabinetes de Transferência de Tecnologia nas IES e </w:t>
      </w:r>
      <w:r w:rsidR="007A2E74">
        <w:rPr>
          <w:rFonts w:eastAsia="Verdana" w:cs="Verdana"/>
          <w:lang w:val="pt-PT" w:eastAsia="pt-PT"/>
        </w:rPr>
        <w:t xml:space="preserve">restantes </w:t>
      </w:r>
      <w:r w:rsidR="00442097">
        <w:rPr>
          <w:rFonts w:eastAsia="Verdana" w:cs="Verdana"/>
          <w:lang w:val="pt-PT" w:eastAsia="pt-PT"/>
        </w:rPr>
        <w:t xml:space="preserve">Infraestruturas </w:t>
      </w:r>
      <w:r w:rsidR="00C800CF">
        <w:rPr>
          <w:rFonts w:eastAsia="Verdana" w:cs="Verdana"/>
          <w:lang w:val="pt-PT" w:eastAsia="pt-PT"/>
        </w:rPr>
        <w:t xml:space="preserve">Tecnológicas </w:t>
      </w:r>
      <w:r w:rsidR="005B317A" w:rsidRPr="00FF7074">
        <w:rPr>
          <w:rFonts w:eastAsia="Verdana" w:cs="Verdana"/>
          <w:lang w:val="pt-PT" w:eastAsia="pt-PT"/>
        </w:rPr>
        <w:t>nacionais.</w:t>
      </w:r>
    </w:p>
    <w:p w14:paraId="7AFF1C1A" w14:textId="77777777" w:rsidR="00B1738D" w:rsidRPr="00FF7074" w:rsidRDefault="00B1738D" w:rsidP="00BB43B5">
      <w:pPr>
        <w:pStyle w:val="PargrafodaLista"/>
        <w:numPr>
          <w:ilvl w:val="0"/>
          <w:numId w:val="15"/>
        </w:numPr>
        <w:spacing w:before="480" w:after="240"/>
        <w:outlineLvl w:val="1"/>
        <w:rPr>
          <w:rFonts w:eastAsia="Arial Unicode MS" w:cs="Calibri"/>
          <w:bCs/>
          <w:vanish/>
          <w:color w:val="0033FF" w:themeColor="accent2"/>
          <w:kern w:val="0"/>
          <w:sz w:val="22"/>
          <w:szCs w:val="22"/>
          <w:lang w:val="pt-PT"/>
        </w:rPr>
      </w:pPr>
      <w:bookmarkStart w:id="20" w:name="_Toc133898908"/>
      <w:bookmarkStart w:id="21" w:name="_Toc133913092"/>
      <w:bookmarkStart w:id="22" w:name="_Toc133913758"/>
      <w:bookmarkStart w:id="23" w:name="_Toc134123375"/>
      <w:bookmarkStart w:id="24" w:name="_Toc134145282"/>
      <w:bookmarkStart w:id="25" w:name="_Toc137833379"/>
      <w:bookmarkStart w:id="26" w:name="_Toc137846987"/>
      <w:bookmarkStart w:id="27" w:name="_Toc138028255"/>
      <w:bookmarkStart w:id="28" w:name="_Toc138420935"/>
      <w:bookmarkEnd w:id="20"/>
      <w:bookmarkEnd w:id="21"/>
      <w:bookmarkEnd w:id="22"/>
      <w:bookmarkEnd w:id="23"/>
      <w:bookmarkEnd w:id="24"/>
      <w:bookmarkEnd w:id="25"/>
      <w:bookmarkEnd w:id="26"/>
      <w:bookmarkEnd w:id="27"/>
      <w:bookmarkEnd w:id="28"/>
    </w:p>
    <w:p w14:paraId="3E431604" w14:textId="77777777" w:rsidR="00B1738D" w:rsidRPr="00FF7074" w:rsidRDefault="00B1738D" w:rsidP="00BB43B5">
      <w:pPr>
        <w:pStyle w:val="PargrafodaLista"/>
        <w:numPr>
          <w:ilvl w:val="0"/>
          <w:numId w:val="15"/>
        </w:numPr>
        <w:spacing w:before="480" w:after="240"/>
        <w:outlineLvl w:val="1"/>
        <w:rPr>
          <w:rFonts w:eastAsia="Arial Unicode MS" w:cs="Calibri"/>
          <w:bCs/>
          <w:vanish/>
          <w:color w:val="0033FF" w:themeColor="accent2"/>
          <w:kern w:val="0"/>
          <w:sz w:val="22"/>
          <w:szCs w:val="22"/>
          <w:lang w:val="pt-PT"/>
        </w:rPr>
      </w:pPr>
      <w:bookmarkStart w:id="29" w:name="_Toc133898909"/>
      <w:bookmarkStart w:id="30" w:name="_Toc133913093"/>
      <w:bookmarkStart w:id="31" w:name="_Toc133913759"/>
      <w:bookmarkStart w:id="32" w:name="_Toc134123376"/>
      <w:bookmarkStart w:id="33" w:name="_Toc134145283"/>
      <w:bookmarkStart w:id="34" w:name="_Toc137833380"/>
      <w:bookmarkStart w:id="35" w:name="_Toc137846988"/>
      <w:bookmarkStart w:id="36" w:name="_Toc138028256"/>
      <w:bookmarkStart w:id="37" w:name="_Toc138420936"/>
      <w:bookmarkEnd w:id="29"/>
      <w:bookmarkEnd w:id="30"/>
      <w:bookmarkEnd w:id="31"/>
      <w:bookmarkEnd w:id="32"/>
      <w:bookmarkEnd w:id="33"/>
      <w:bookmarkEnd w:id="34"/>
      <w:bookmarkEnd w:id="35"/>
      <w:bookmarkEnd w:id="36"/>
      <w:bookmarkEnd w:id="37"/>
    </w:p>
    <w:p w14:paraId="22ABB7AD" w14:textId="50714236" w:rsidR="0059548E" w:rsidRPr="00FF7074" w:rsidRDefault="00F262F8" w:rsidP="0085311A">
      <w:pPr>
        <w:pStyle w:val="Ttulo1"/>
        <w:spacing w:line="288" w:lineRule="auto"/>
      </w:pPr>
      <w:bookmarkStart w:id="38" w:name="_Toc138420937"/>
      <w:r w:rsidRPr="00FF7074">
        <w:t>MODELOS DE TRANSFERÊNCIA DE TECNOLOGIA DO MIT, DA UNIVERSIDADE CARNEGIE MELLON E DA UNIVERSIDADE DO TEXAS</w:t>
      </w:r>
      <w:bookmarkEnd w:id="38"/>
    </w:p>
    <w:p w14:paraId="440958C4" w14:textId="721F649A" w:rsidR="006C0991" w:rsidRPr="00FF7074" w:rsidRDefault="006C0991" w:rsidP="006C0991">
      <w:pPr>
        <w:spacing w:before="240" w:after="160"/>
        <w:ind w:firstLine="0"/>
        <w:rPr>
          <w:rFonts w:eastAsia="Verdana" w:cs="Verdana"/>
          <w:lang w:val="pt-PT" w:eastAsia="pt-PT"/>
        </w:rPr>
      </w:pPr>
      <w:r w:rsidRPr="00FF7074">
        <w:rPr>
          <w:rFonts w:eastAsia="Verdana" w:cs="Verdana"/>
          <w:lang w:val="pt-PT" w:eastAsia="pt-PT"/>
        </w:rPr>
        <w:t xml:space="preserve">O </w:t>
      </w:r>
      <w:r w:rsidR="006101E1" w:rsidRPr="006101E1">
        <w:rPr>
          <w:rFonts w:eastAsia="Verdana" w:cs="Verdana"/>
          <w:lang w:val="pt-PT" w:eastAsia="pt-PT"/>
        </w:rPr>
        <w:t xml:space="preserve">Massachusetts </w:t>
      </w:r>
      <w:proofErr w:type="spellStart"/>
      <w:r w:rsidR="006101E1" w:rsidRPr="006101E1">
        <w:rPr>
          <w:rFonts w:eastAsia="Verdana" w:cs="Verdana"/>
          <w:lang w:val="pt-PT" w:eastAsia="pt-PT"/>
        </w:rPr>
        <w:t>Institute</w:t>
      </w:r>
      <w:proofErr w:type="spellEnd"/>
      <w:r w:rsidR="006101E1" w:rsidRPr="006101E1">
        <w:rPr>
          <w:rFonts w:eastAsia="Verdana" w:cs="Verdana"/>
          <w:lang w:val="pt-PT" w:eastAsia="pt-PT"/>
        </w:rPr>
        <w:t xml:space="preserve"> of </w:t>
      </w:r>
      <w:proofErr w:type="spellStart"/>
      <w:r w:rsidR="006101E1" w:rsidRPr="006101E1">
        <w:rPr>
          <w:rFonts w:eastAsia="Verdana" w:cs="Verdana"/>
          <w:lang w:val="pt-PT" w:eastAsia="pt-PT"/>
        </w:rPr>
        <w:t>Technology</w:t>
      </w:r>
      <w:proofErr w:type="spellEnd"/>
      <w:r w:rsidR="006101E1">
        <w:rPr>
          <w:rFonts w:eastAsia="Verdana" w:cs="Verdana"/>
          <w:lang w:val="pt-PT" w:eastAsia="pt-PT"/>
        </w:rPr>
        <w:t xml:space="preserve"> - </w:t>
      </w:r>
      <w:r w:rsidRPr="00FF7074">
        <w:rPr>
          <w:rFonts w:eastAsia="Verdana" w:cs="Verdana"/>
          <w:lang w:val="pt-PT" w:eastAsia="pt-PT"/>
        </w:rPr>
        <w:t xml:space="preserve">MIT, a Universidade Carnegie </w:t>
      </w:r>
      <w:proofErr w:type="spellStart"/>
      <w:r w:rsidRPr="00FF7074">
        <w:rPr>
          <w:rFonts w:eastAsia="Verdana" w:cs="Verdana"/>
          <w:lang w:val="pt-PT" w:eastAsia="pt-PT"/>
        </w:rPr>
        <w:t>Mellon</w:t>
      </w:r>
      <w:proofErr w:type="spellEnd"/>
      <w:r w:rsidR="006101E1">
        <w:rPr>
          <w:rFonts w:eastAsia="Verdana" w:cs="Verdana"/>
          <w:lang w:val="pt-PT" w:eastAsia="pt-PT"/>
        </w:rPr>
        <w:t xml:space="preserve"> - CMU</w:t>
      </w:r>
      <w:r w:rsidRPr="00FF7074">
        <w:rPr>
          <w:rFonts w:eastAsia="Verdana" w:cs="Verdana"/>
          <w:lang w:val="pt-PT" w:eastAsia="pt-PT"/>
        </w:rPr>
        <w:t xml:space="preserve"> e a Universidade do Texas são reconhecidas internacionalmente por suas contribuições significativas à inovação em diversos campos tecnológicos. Cada uma dessas instituições adota um conjunto de abordagens que têm em comum o propósito de incentivar a colaboração entre pesquisadores e empresas, facilitar a comercialização de invenções e descobertas científicas e promover a transferência de conhecimento à sociedade.</w:t>
      </w:r>
    </w:p>
    <w:p w14:paraId="359F334A" w14:textId="77777777" w:rsidR="006C0991" w:rsidRPr="00FF7074" w:rsidRDefault="006C0991" w:rsidP="006C0991">
      <w:pPr>
        <w:spacing w:before="0" w:after="160"/>
        <w:ind w:firstLine="0"/>
        <w:rPr>
          <w:rFonts w:eastAsia="Verdana" w:cs="Verdana"/>
          <w:lang w:val="pt-PT" w:eastAsia="pt-PT"/>
        </w:rPr>
      </w:pPr>
      <w:r w:rsidRPr="00FF7074">
        <w:rPr>
          <w:rFonts w:eastAsia="Verdana" w:cs="Verdana"/>
          <w:lang w:val="pt-PT" w:eastAsia="pt-PT"/>
        </w:rPr>
        <w:t xml:space="preserve">A força motriz das contribuições dessas instituições à inovação tecnológica está na capacidade inventiva que cada uma delas cultiva junto a seus corpos docentes e discentes. A geração de soluções potencialmente inovadoras está ilustrada pelo volume de notificações de invenção recebidas pelos gabinetes de transferência de tecnologia das referidas instituições. Conforme mostra a figura 1, grupos de pesquisa do MIT geraram uma média de quase mil invenções nos 6 anos compreendidos entre 2015 e 2021. No mesmo período, os gabinetes de transferência de tecnologia da Carnegie </w:t>
      </w:r>
      <w:proofErr w:type="spellStart"/>
      <w:r w:rsidRPr="00FF7074">
        <w:rPr>
          <w:rFonts w:eastAsia="Verdana" w:cs="Verdana"/>
          <w:lang w:val="pt-PT" w:eastAsia="pt-PT"/>
        </w:rPr>
        <w:t>Mellon</w:t>
      </w:r>
      <w:proofErr w:type="spellEnd"/>
      <w:r w:rsidRPr="00FF7074">
        <w:rPr>
          <w:rFonts w:eastAsia="Verdana" w:cs="Verdana"/>
          <w:lang w:val="pt-PT" w:eastAsia="pt-PT"/>
        </w:rPr>
        <w:t xml:space="preserve"> e da Universidade do Texas receberam uma média próxima a 400 invenções por ano.</w:t>
      </w:r>
    </w:p>
    <w:p w14:paraId="377F80CA" w14:textId="77777777" w:rsidR="006C0991" w:rsidRPr="00FF7074" w:rsidRDefault="006C0991" w:rsidP="006C0991">
      <w:pPr>
        <w:keepNext/>
        <w:spacing w:before="0" w:after="160" w:line="259" w:lineRule="auto"/>
        <w:ind w:firstLine="0"/>
        <w:jc w:val="center"/>
        <w:rPr>
          <w:rFonts w:eastAsia="Verdana" w:cs="Verdana"/>
          <w:sz w:val="22"/>
          <w:szCs w:val="22"/>
          <w:lang w:val="pt-PT" w:eastAsia="en-US"/>
        </w:rPr>
      </w:pPr>
      <w:r w:rsidRPr="00FF7074">
        <w:rPr>
          <w:rFonts w:ascii="Calibri" w:eastAsia="Calibri" w:hAnsi="Calibri"/>
          <w:noProof/>
          <w:sz w:val="22"/>
          <w:szCs w:val="22"/>
          <w:lang w:val="pt-PT" w:eastAsia="en-US"/>
        </w:rPr>
        <w:drawing>
          <wp:inline distT="0" distB="0" distL="0" distR="0" wp14:anchorId="61CF9576" wp14:editId="73A5C1C1">
            <wp:extent cx="4680000" cy="2160000"/>
            <wp:effectExtent l="0" t="0" r="6350" b="0"/>
            <wp:docPr id="37" name="Gráfico 37">
              <a:extLst xmlns:a="http://schemas.openxmlformats.org/drawingml/2006/main">
                <a:ext uri="{FF2B5EF4-FFF2-40B4-BE49-F238E27FC236}">
                  <a16:creationId xmlns:a16="http://schemas.microsoft.com/office/drawing/2014/main" id="{C64FA8DD-03C5-C81A-57A3-11CC9196B3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24D5AA7" w14:textId="21AFDB17" w:rsidR="0085311A" w:rsidRPr="00FF7074" w:rsidRDefault="006C0991" w:rsidP="0085311A">
      <w:pPr>
        <w:spacing w:before="0" w:after="0"/>
        <w:ind w:firstLine="0"/>
        <w:jc w:val="center"/>
        <w:rPr>
          <w:rFonts w:eastAsia="Verdana" w:cs="Verdana"/>
          <w:i/>
          <w:color w:val="4B4F54" w:themeColor="text1"/>
          <w:sz w:val="18"/>
          <w:szCs w:val="18"/>
          <w:lang w:val="pt-PT" w:eastAsia="en-US"/>
        </w:rPr>
      </w:pPr>
      <w:r w:rsidRPr="00FF7074">
        <w:rPr>
          <w:rFonts w:eastAsia="Verdana" w:cs="Verdana"/>
          <w:i/>
          <w:color w:val="4B4F54" w:themeColor="text1"/>
          <w:sz w:val="18"/>
          <w:szCs w:val="18"/>
          <w:lang w:val="pt-PT" w:eastAsia="en-US"/>
        </w:rPr>
        <w:t xml:space="preserve">Figura </w:t>
      </w:r>
      <w:r w:rsidRPr="00FF7074">
        <w:rPr>
          <w:rFonts w:eastAsia="Calibri"/>
          <w:i/>
          <w:color w:val="4B4F54" w:themeColor="text1"/>
          <w:sz w:val="18"/>
          <w:szCs w:val="18"/>
          <w:lang w:val="pt-PT" w:eastAsia="en-US"/>
        </w:rPr>
        <w:fldChar w:fldCharType="begin"/>
      </w:r>
      <w:r w:rsidRPr="00FF7074">
        <w:rPr>
          <w:rFonts w:eastAsia="Calibri"/>
          <w:i/>
          <w:color w:val="4B4F54" w:themeColor="text1"/>
          <w:sz w:val="18"/>
          <w:szCs w:val="18"/>
          <w:lang w:val="pt-PT" w:eastAsia="en-US"/>
        </w:rPr>
        <w:instrText xml:space="preserve"> SEQ Figura \* ARABIC </w:instrText>
      </w:r>
      <w:r w:rsidRPr="00FF7074">
        <w:rPr>
          <w:rFonts w:eastAsia="Calibri"/>
          <w:i/>
          <w:color w:val="4B4F54" w:themeColor="text1"/>
          <w:sz w:val="18"/>
          <w:szCs w:val="18"/>
          <w:lang w:val="pt-PT" w:eastAsia="en-US"/>
        </w:rPr>
        <w:fldChar w:fldCharType="separate"/>
      </w:r>
      <w:r w:rsidR="008617AF">
        <w:rPr>
          <w:rFonts w:eastAsia="Calibri"/>
          <w:i/>
          <w:noProof/>
          <w:color w:val="4B4F54" w:themeColor="text1"/>
          <w:sz w:val="18"/>
          <w:szCs w:val="18"/>
          <w:lang w:val="pt-PT" w:eastAsia="en-US"/>
        </w:rPr>
        <w:t>1</w:t>
      </w:r>
      <w:r w:rsidRPr="00FF7074">
        <w:rPr>
          <w:rFonts w:eastAsia="Calibri"/>
          <w:i/>
          <w:color w:val="4B4F54" w:themeColor="text1"/>
          <w:sz w:val="18"/>
          <w:szCs w:val="18"/>
          <w:lang w:val="pt-PT" w:eastAsia="en-US"/>
        </w:rPr>
        <w:fldChar w:fldCharType="end"/>
      </w:r>
      <w:r w:rsidRPr="00FF7074">
        <w:rPr>
          <w:rFonts w:eastAsia="Verdana" w:cs="Verdana"/>
          <w:i/>
          <w:color w:val="4B4F54" w:themeColor="text1"/>
          <w:sz w:val="18"/>
          <w:szCs w:val="18"/>
          <w:lang w:val="pt-PT" w:eastAsia="en-US"/>
        </w:rPr>
        <w:t xml:space="preserve">: </w:t>
      </w:r>
      <w:r w:rsidR="002C1B69" w:rsidRPr="00FF7074">
        <w:rPr>
          <w:rFonts w:eastAsia="Verdana" w:cs="Verdana"/>
          <w:i/>
          <w:color w:val="4B4F54" w:themeColor="text1"/>
          <w:sz w:val="18"/>
          <w:szCs w:val="18"/>
          <w:lang w:val="pt-PT" w:eastAsia="en-US"/>
        </w:rPr>
        <w:t>N</w:t>
      </w:r>
      <w:r w:rsidRPr="00FF7074">
        <w:rPr>
          <w:rFonts w:eastAsia="Verdana" w:cs="Verdana"/>
          <w:i/>
          <w:color w:val="4B4F54" w:themeColor="text1"/>
          <w:sz w:val="18"/>
          <w:szCs w:val="18"/>
          <w:lang w:val="pt-PT" w:eastAsia="en-US"/>
        </w:rPr>
        <w:t>úmero de notificações de invenção recebidos pelos gabinetes de transferência de tecnologia das universidades estadunidenses selecionadas.</w:t>
      </w:r>
    </w:p>
    <w:p w14:paraId="317C963B" w14:textId="5A395A78" w:rsidR="006C0991" w:rsidRPr="00FF7074" w:rsidRDefault="006C0991" w:rsidP="006C0991">
      <w:pPr>
        <w:spacing w:before="0" w:after="200"/>
        <w:ind w:firstLine="0"/>
        <w:jc w:val="center"/>
        <w:rPr>
          <w:rFonts w:eastAsia="Verdana" w:cs="Verdana"/>
          <w:i/>
          <w:color w:val="4B4F54" w:themeColor="text1"/>
          <w:sz w:val="16"/>
          <w:szCs w:val="16"/>
          <w:lang w:val="pt-PT" w:eastAsia="pt-PT"/>
        </w:rPr>
      </w:pPr>
      <w:r w:rsidRPr="00FF7074">
        <w:rPr>
          <w:rFonts w:eastAsia="Verdana" w:cs="Verdana"/>
          <w:i/>
          <w:color w:val="4B4F54" w:themeColor="text1"/>
          <w:sz w:val="16"/>
          <w:szCs w:val="16"/>
          <w:lang w:val="pt-PT" w:eastAsia="en-US"/>
        </w:rPr>
        <w:t xml:space="preserve">Fonte: </w:t>
      </w:r>
      <w:r w:rsidR="0085311A" w:rsidRPr="00FF7074">
        <w:rPr>
          <w:rFonts w:eastAsia="Verdana" w:cs="Verdana"/>
          <w:i/>
          <w:color w:val="4B4F54" w:themeColor="text1"/>
          <w:sz w:val="16"/>
          <w:szCs w:val="16"/>
          <w:lang w:val="pt-PT" w:eastAsia="en-US"/>
        </w:rPr>
        <w:t>P</w:t>
      </w:r>
      <w:r w:rsidRPr="00FF7074">
        <w:rPr>
          <w:rFonts w:eastAsia="Verdana" w:cs="Verdana"/>
          <w:i/>
          <w:color w:val="4B4F54" w:themeColor="text1"/>
          <w:sz w:val="16"/>
          <w:szCs w:val="16"/>
          <w:lang w:val="pt-PT" w:eastAsia="en-US"/>
        </w:rPr>
        <w:t>ágina web das universidades; elaboração própria.</w:t>
      </w:r>
    </w:p>
    <w:p w14:paraId="139C2EE7" w14:textId="77777777" w:rsidR="006C0991" w:rsidRPr="00FF7074" w:rsidRDefault="006C0991" w:rsidP="006C0991">
      <w:pPr>
        <w:spacing w:before="0" w:after="160" w:line="259" w:lineRule="auto"/>
        <w:ind w:firstLine="0"/>
        <w:rPr>
          <w:rFonts w:eastAsia="Verdana" w:cs="Verdana"/>
          <w:lang w:val="pt-PT" w:eastAsia="pt-PT"/>
        </w:rPr>
      </w:pPr>
    </w:p>
    <w:p w14:paraId="69C002BF" w14:textId="702E0610" w:rsidR="006C0991" w:rsidRPr="00FF7074" w:rsidRDefault="006C0991" w:rsidP="00022602">
      <w:pPr>
        <w:spacing w:before="0" w:after="160"/>
        <w:ind w:firstLine="0"/>
        <w:rPr>
          <w:rFonts w:eastAsia="Verdana" w:cs="Verdana"/>
          <w:lang w:val="pt-PT" w:eastAsia="pt-PT"/>
        </w:rPr>
      </w:pPr>
      <w:r w:rsidRPr="00FF7074">
        <w:rPr>
          <w:rFonts w:eastAsia="Verdana" w:cs="Verdana"/>
          <w:lang w:val="pt-PT" w:eastAsia="pt-PT"/>
        </w:rPr>
        <w:t xml:space="preserve">O grande número de invenções geradas se traduz em um importante volume de negócios firmados envolvendo ativos intelectuais das </w:t>
      </w:r>
      <w:r w:rsidR="00472B72" w:rsidRPr="00FF7074">
        <w:rPr>
          <w:rFonts w:eastAsia="Verdana" w:cs="Verdana"/>
          <w:lang w:val="pt-PT" w:eastAsia="pt-PT"/>
        </w:rPr>
        <w:t>respetivas</w:t>
      </w:r>
      <w:r w:rsidRPr="00FF7074">
        <w:rPr>
          <w:rFonts w:eastAsia="Verdana" w:cs="Verdana"/>
          <w:lang w:val="pt-PT" w:eastAsia="pt-PT"/>
        </w:rPr>
        <w:t xml:space="preserve"> instituições. Entre os anos de 2015 </w:t>
      </w:r>
      <w:r w:rsidRPr="00FF7074">
        <w:rPr>
          <w:rFonts w:eastAsia="Verdana" w:cs="Verdana"/>
          <w:lang w:val="pt-PT" w:eastAsia="pt-PT"/>
        </w:rPr>
        <w:lastRenderedPageBreak/>
        <w:t>e 2021, o MIT, a CMU e a Universidade do Texas firmaram, em conjunto, mais de 3 mil acordos, numa média geral de cerca de 500 transações de base tecnológica negociadas por ano (Fig. 2).</w:t>
      </w:r>
    </w:p>
    <w:p w14:paraId="06364763" w14:textId="77777777" w:rsidR="006C0991" w:rsidRPr="00FF7074" w:rsidRDefault="006C0991" w:rsidP="006C0991">
      <w:pPr>
        <w:keepNext/>
        <w:spacing w:before="0" w:after="160" w:line="259" w:lineRule="auto"/>
        <w:ind w:firstLine="0"/>
        <w:jc w:val="center"/>
        <w:rPr>
          <w:rFonts w:eastAsia="Verdana" w:cs="Verdana"/>
          <w:sz w:val="22"/>
          <w:szCs w:val="22"/>
          <w:lang w:val="pt-PT" w:eastAsia="en-US"/>
        </w:rPr>
      </w:pPr>
      <w:r w:rsidRPr="00FF7074">
        <w:rPr>
          <w:rFonts w:ascii="Calibri" w:eastAsia="Calibri" w:hAnsi="Calibri"/>
          <w:noProof/>
          <w:sz w:val="22"/>
          <w:szCs w:val="22"/>
          <w:lang w:val="pt-PT" w:eastAsia="en-US"/>
        </w:rPr>
        <w:drawing>
          <wp:inline distT="0" distB="0" distL="0" distR="0" wp14:anchorId="39070CEA" wp14:editId="5E8733F7">
            <wp:extent cx="4680000" cy="2160000"/>
            <wp:effectExtent l="0" t="0" r="6350" b="0"/>
            <wp:docPr id="38" name="Gráfico 38">
              <a:extLst xmlns:a="http://schemas.openxmlformats.org/drawingml/2006/main">
                <a:ext uri="{FF2B5EF4-FFF2-40B4-BE49-F238E27FC236}">
                  <a16:creationId xmlns:a16="http://schemas.microsoft.com/office/drawing/2014/main" id="{B0EDEA2B-0129-5452-D277-F4D96CCF1D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5D36344" w14:textId="488A9B94" w:rsidR="008E3815" w:rsidRPr="00FF7074" w:rsidRDefault="006C0991" w:rsidP="008E3815">
      <w:pPr>
        <w:spacing w:before="0" w:after="0"/>
        <w:ind w:firstLine="0"/>
        <w:jc w:val="center"/>
        <w:rPr>
          <w:rFonts w:eastAsia="Verdana" w:cs="Verdana"/>
          <w:i/>
          <w:color w:val="4B4F54" w:themeColor="text1"/>
          <w:sz w:val="18"/>
          <w:szCs w:val="18"/>
          <w:lang w:val="pt-PT" w:eastAsia="en-US"/>
        </w:rPr>
      </w:pPr>
      <w:r w:rsidRPr="00FF7074">
        <w:rPr>
          <w:rFonts w:eastAsia="Verdana" w:cs="Verdana"/>
          <w:i/>
          <w:color w:val="4B4F54" w:themeColor="text1"/>
          <w:sz w:val="18"/>
          <w:szCs w:val="18"/>
          <w:lang w:val="pt-PT" w:eastAsia="en-US"/>
        </w:rPr>
        <w:t xml:space="preserve">Figura </w:t>
      </w:r>
      <w:r w:rsidRPr="00FF7074">
        <w:rPr>
          <w:rFonts w:eastAsia="Calibri"/>
          <w:i/>
          <w:color w:val="4B4F54" w:themeColor="text1"/>
          <w:sz w:val="18"/>
          <w:szCs w:val="18"/>
          <w:lang w:val="pt-PT" w:eastAsia="en-US"/>
        </w:rPr>
        <w:fldChar w:fldCharType="begin"/>
      </w:r>
      <w:r w:rsidRPr="00FF7074">
        <w:rPr>
          <w:rFonts w:eastAsia="Calibri"/>
          <w:i/>
          <w:color w:val="4B4F54" w:themeColor="text1"/>
          <w:sz w:val="18"/>
          <w:szCs w:val="18"/>
          <w:lang w:val="pt-PT" w:eastAsia="en-US"/>
        </w:rPr>
        <w:instrText xml:space="preserve"> SEQ Figura \* ARABIC </w:instrText>
      </w:r>
      <w:r w:rsidRPr="00FF7074">
        <w:rPr>
          <w:rFonts w:eastAsia="Calibri"/>
          <w:i/>
          <w:color w:val="4B4F54" w:themeColor="text1"/>
          <w:sz w:val="18"/>
          <w:szCs w:val="18"/>
          <w:lang w:val="pt-PT" w:eastAsia="en-US"/>
        </w:rPr>
        <w:fldChar w:fldCharType="separate"/>
      </w:r>
      <w:r w:rsidR="008617AF">
        <w:rPr>
          <w:rFonts w:eastAsia="Calibri"/>
          <w:i/>
          <w:noProof/>
          <w:color w:val="4B4F54" w:themeColor="text1"/>
          <w:sz w:val="18"/>
          <w:szCs w:val="18"/>
          <w:lang w:val="pt-PT" w:eastAsia="en-US"/>
        </w:rPr>
        <w:t>2</w:t>
      </w:r>
      <w:r w:rsidRPr="00FF7074">
        <w:rPr>
          <w:rFonts w:eastAsia="Calibri"/>
          <w:i/>
          <w:color w:val="4B4F54" w:themeColor="text1"/>
          <w:sz w:val="18"/>
          <w:szCs w:val="18"/>
          <w:lang w:val="pt-PT" w:eastAsia="en-US"/>
        </w:rPr>
        <w:fldChar w:fldCharType="end"/>
      </w:r>
      <w:r w:rsidRPr="00FF7074">
        <w:rPr>
          <w:rFonts w:eastAsia="Verdana" w:cs="Verdana"/>
          <w:i/>
          <w:color w:val="4B4F54" w:themeColor="text1"/>
          <w:sz w:val="18"/>
          <w:szCs w:val="18"/>
          <w:lang w:val="pt-PT" w:eastAsia="en-US"/>
        </w:rPr>
        <w:t xml:space="preserve">: </w:t>
      </w:r>
      <w:r w:rsidR="00E86C4A" w:rsidRPr="00FF7074">
        <w:rPr>
          <w:rFonts w:eastAsia="Verdana" w:cs="Verdana"/>
          <w:i/>
          <w:color w:val="4B4F54" w:themeColor="text1"/>
          <w:sz w:val="18"/>
          <w:szCs w:val="18"/>
          <w:lang w:val="pt-PT" w:eastAsia="en-US"/>
        </w:rPr>
        <w:t>N</w:t>
      </w:r>
      <w:r w:rsidRPr="00FF7074">
        <w:rPr>
          <w:rFonts w:eastAsia="Verdana" w:cs="Verdana"/>
          <w:i/>
          <w:color w:val="4B4F54" w:themeColor="text1"/>
          <w:sz w:val="18"/>
          <w:szCs w:val="18"/>
          <w:lang w:val="pt-PT" w:eastAsia="en-US"/>
        </w:rPr>
        <w:t>úmero de acordos firmados no período entre 2015 e 2021, incluindo licenças e opções de licenciamento.</w:t>
      </w:r>
    </w:p>
    <w:p w14:paraId="6B5D46F4" w14:textId="7718DC7B" w:rsidR="006C0991" w:rsidRPr="00FF7074" w:rsidRDefault="006C0991" w:rsidP="006C0991">
      <w:pPr>
        <w:spacing w:before="0" w:after="200"/>
        <w:ind w:firstLine="0"/>
        <w:jc w:val="center"/>
        <w:rPr>
          <w:rFonts w:eastAsia="Verdana" w:cs="Verdana"/>
          <w:i/>
          <w:color w:val="4B4F54" w:themeColor="text1"/>
          <w:sz w:val="16"/>
          <w:szCs w:val="16"/>
          <w:lang w:val="pt-PT" w:eastAsia="en-US"/>
        </w:rPr>
      </w:pPr>
      <w:r w:rsidRPr="00FF7074">
        <w:rPr>
          <w:rFonts w:eastAsia="Verdana" w:cs="Verdana"/>
          <w:i/>
          <w:color w:val="4B4F54" w:themeColor="text1"/>
          <w:sz w:val="16"/>
          <w:szCs w:val="16"/>
          <w:lang w:val="pt-PT" w:eastAsia="en-US"/>
        </w:rPr>
        <w:t xml:space="preserve">Fonte: </w:t>
      </w:r>
      <w:r w:rsidR="008E3815" w:rsidRPr="00FF7074">
        <w:rPr>
          <w:rFonts w:eastAsia="Verdana" w:cs="Verdana"/>
          <w:i/>
          <w:color w:val="4B4F54" w:themeColor="text1"/>
          <w:sz w:val="16"/>
          <w:szCs w:val="16"/>
          <w:lang w:val="pt-PT" w:eastAsia="en-US"/>
        </w:rPr>
        <w:t>P</w:t>
      </w:r>
      <w:r w:rsidRPr="00FF7074">
        <w:rPr>
          <w:rFonts w:eastAsia="Verdana" w:cs="Verdana"/>
          <w:i/>
          <w:color w:val="4B4F54" w:themeColor="text1"/>
          <w:sz w:val="16"/>
          <w:szCs w:val="16"/>
          <w:lang w:val="pt-PT" w:eastAsia="en-US"/>
        </w:rPr>
        <w:t>ágina web das universidades; elaboração própria.</w:t>
      </w:r>
    </w:p>
    <w:p w14:paraId="3242AF11" w14:textId="77777777" w:rsidR="00124129" w:rsidRPr="00FF7074" w:rsidRDefault="00124129" w:rsidP="00022602">
      <w:pPr>
        <w:spacing w:before="0" w:after="160"/>
        <w:ind w:firstLine="0"/>
        <w:rPr>
          <w:rFonts w:eastAsia="Verdana" w:cs="Verdana"/>
          <w:lang w:val="pt-PT" w:eastAsia="pt-PT"/>
        </w:rPr>
      </w:pPr>
    </w:p>
    <w:p w14:paraId="7477DC00" w14:textId="45328918" w:rsidR="006C0991" w:rsidRPr="00FF7074" w:rsidRDefault="006C0991" w:rsidP="00022602">
      <w:pPr>
        <w:spacing w:before="0" w:after="160"/>
        <w:ind w:firstLine="0"/>
        <w:rPr>
          <w:rFonts w:eastAsia="Verdana" w:cs="Verdana"/>
          <w:lang w:val="pt-PT" w:eastAsia="pt-PT"/>
        </w:rPr>
      </w:pPr>
      <w:r w:rsidRPr="00FF7074">
        <w:rPr>
          <w:rFonts w:eastAsia="Verdana" w:cs="Verdana"/>
          <w:lang w:val="pt-PT" w:eastAsia="pt-PT"/>
        </w:rPr>
        <w:t xml:space="preserve">Parte dos licenciamentos negociados pelo MIT, pela CMU e pela Universidade do Texas resultaram na criação de </w:t>
      </w:r>
      <w:proofErr w:type="spellStart"/>
      <w:r w:rsidRPr="00FF7074">
        <w:rPr>
          <w:rFonts w:eastAsia="Verdana" w:cs="Verdana"/>
          <w:i/>
          <w:lang w:val="pt-PT" w:eastAsia="pt-PT"/>
        </w:rPr>
        <w:t>spin-offs</w:t>
      </w:r>
      <w:proofErr w:type="spellEnd"/>
      <w:r w:rsidRPr="00FF7074">
        <w:rPr>
          <w:rFonts w:eastAsia="Verdana" w:cs="Verdana"/>
          <w:lang w:val="pt-PT" w:eastAsia="pt-PT"/>
        </w:rPr>
        <w:t xml:space="preserve"> – empresas de base tecnológica criadas especificamente para explorar um modelo de negócio centrado em um ativo ou tecnologia da universidade. No período 2015-2021, as três instituições, em conjunto, propiciaram a criação de mais de 300 companhias (Fig. 3). Entre as 3, o MIT se destaca como o ambiente possivelmente mais empreendedor, </w:t>
      </w:r>
      <w:r w:rsidR="00043928">
        <w:rPr>
          <w:rFonts w:eastAsia="Verdana" w:cs="Verdana"/>
          <w:lang w:val="pt-PT" w:eastAsia="pt-PT"/>
        </w:rPr>
        <w:t>criando</w:t>
      </w:r>
      <w:r w:rsidRPr="00FF7074">
        <w:rPr>
          <w:rFonts w:eastAsia="Verdana" w:cs="Verdana"/>
          <w:lang w:val="pt-PT" w:eastAsia="pt-PT"/>
        </w:rPr>
        <w:t xml:space="preserve"> quase 200 </w:t>
      </w:r>
      <w:proofErr w:type="spellStart"/>
      <w:r w:rsidRPr="00FF7074">
        <w:rPr>
          <w:rFonts w:eastAsia="Verdana" w:cs="Verdana"/>
          <w:i/>
          <w:lang w:val="pt-PT" w:eastAsia="pt-PT"/>
        </w:rPr>
        <w:t>spin-offs</w:t>
      </w:r>
      <w:proofErr w:type="spellEnd"/>
      <w:r w:rsidRPr="00FF7074">
        <w:rPr>
          <w:rFonts w:eastAsia="Verdana" w:cs="Verdana"/>
          <w:lang w:val="pt-PT" w:eastAsia="pt-PT"/>
        </w:rPr>
        <w:t>.</w:t>
      </w:r>
    </w:p>
    <w:p w14:paraId="353FD26E" w14:textId="77777777" w:rsidR="006C0991" w:rsidRPr="00FF7074" w:rsidRDefault="006C0991" w:rsidP="006C0991">
      <w:pPr>
        <w:keepNext/>
        <w:spacing w:before="0" w:after="160" w:line="259" w:lineRule="auto"/>
        <w:ind w:firstLine="0"/>
        <w:jc w:val="center"/>
        <w:rPr>
          <w:rFonts w:eastAsia="Verdana" w:cs="Verdana"/>
          <w:sz w:val="22"/>
          <w:szCs w:val="22"/>
          <w:lang w:val="pt-PT" w:eastAsia="en-US"/>
        </w:rPr>
      </w:pPr>
      <w:r w:rsidRPr="00FF7074">
        <w:rPr>
          <w:rFonts w:ascii="Calibri" w:eastAsia="Calibri" w:hAnsi="Calibri"/>
          <w:noProof/>
          <w:sz w:val="22"/>
          <w:szCs w:val="22"/>
          <w:lang w:val="pt-PT" w:eastAsia="en-US"/>
        </w:rPr>
        <w:drawing>
          <wp:inline distT="0" distB="0" distL="0" distR="0" wp14:anchorId="03E16519" wp14:editId="78F025CD">
            <wp:extent cx="4680000" cy="2160000"/>
            <wp:effectExtent l="0" t="0" r="6350" b="0"/>
            <wp:docPr id="39" name="Gráfico 39">
              <a:extLst xmlns:a="http://schemas.openxmlformats.org/drawingml/2006/main">
                <a:ext uri="{FF2B5EF4-FFF2-40B4-BE49-F238E27FC236}">
                  <a16:creationId xmlns:a16="http://schemas.microsoft.com/office/drawing/2014/main" id="{24B8AC13-401C-2392-4F5A-B117EAA574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E6D290B" w14:textId="2257AA66" w:rsidR="00124129" w:rsidRPr="00FF7074" w:rsidRDefault="006C0991" w:rsidP="00124129">
      <w:pPr>
        <w:spacing w:before="0" w:after="0"/>
        <w:ind w:firstLine="0"/>
        <w:jc w:val="center"/>
        <w:rPr>
          <w:rFonts w:eastAsia="Verdana" w:cs="Verdana"/>
          <w:i/>
          <w:color w:val="4B4F54" w:themeColor="text1"/>
          <w:sz w:val="18"/>
          <w:szCs w:val="18"/>
          <w:lang w:val="pt-PT" w:eastAsia="en-US"/>
        </w:rPr>
      </w:pPr>
      <w:r w:rsidRPr="00FF7074">
        <w:rPr>
          <w:rFonts w:eastAsia="Verdana" w:cs="Verdana"/>
          <w:i/>
          <w:color w:val="4B4F54" w:themeColor="text1"/>
          <w:sz w:val="18"/>
          <w:szCs w:val="18"/>
          <w:lang w:val="pt-PT" w:eastAsia="en-US"/>
        </w:rPr>
        <w:t xml:space="preserve">Figura </w:t>
      </w:r>
      <w:r w:rsidRPr="00FF7074">
        <w:rPr>
          <w:rFonts w:eastAsia="Calibri"/>
          <w:i/>
          <w:color w:val="4B4F54" w:themeColor="text1"/>
          <w:sz w:val="18"/>
          <w:szCs w:val="18"/>
          <w:lang w:val="pt-PT" w:eastAsia="en-US"/>
        </w:rPr>
        <w:fldChar w:fldCharType="begin"/>
      </w:r>
      <w:r w:rsidRPr="00FF7074">
        <w:rPr>
          <w:rFonts w:eastAsia="Calibri"/>
          <w:i/>
          <w:color w:val="4B4F54" w:themeColor="text1"/>
          <w:sz w:val="18"/>
          <w:szCs w:val="18"/>
          <w:lang w:val="pt-PT" w:eastAsia="en-US"/>
        </w:rPr>
        <w:instrText xml:space="preserve"> SEQ Figura \* ARABIC </w:instrText>
      </w:r>
      <w:r w:rsidRPr="00FF7074">
        <w:rPr>
          <w:rFonts w:eastAsia="Calibri"/>
          <w:i/>
          <w:color w:val="4B4F54" w:themeColor="text1"/>
          <w:sz w:val="18"/>
          <w:szCs w:val="18"/>
          <w:lang w:val="pt-PT" w:eastAsia="en-US"/>
        </w:rPr>
        <w:fldChar w:fldCharType="separate"/>
      </w:r>
      <w:r w:rsidR="008617AF">
        <w:rPr>
          <w:rFonts w:eastAsia="Calibri"/>
          <w:i/>
          <w:noProof/>
          <w:color w:val="4B4F54" w:themeColor="text1"/>
          <w:sz w:val="18"/>
          <w:szCs w:val="18"/>
          <w:lang w:val="pt-PT" w:eastAsia="en-US"/>
        </w:rPr>
        <w:t>3</w:t>
      </w:r>
      <w:r w:rsidRPr="00FF7074">
        <w:rPr>
          <w:rFonts w:eastAsia="Calibri"/>
          <w:i/>
          <w:color w:val="4B4F54" w:themeColor="text1"/>
          <w:sz w:val="18"/>
          <w:szCs w:val="18"/>
          <w:lang w:val="pt-PT" w:eastAsia="en-US"/>
        </w:rPr>
        <w:fldChar w:fldCharType="end"/>
      </w:r>
      <w:r w:rsidRPr="00FF7074">
        <w:rPr>
          <w:rFonts w:eastAsia="Verdana" w:cs="Verdana"/>
          <w:i/>
          <w:color w:val="4B4F54" w:themeColor="text1"/>
          <w:sz w:val="18"/>
          <w:szCs w:val="18"/>
          <w:lang w:val="pt-PT" w:eastAsia="en-US"/>
        </w:rPr>
        <w:t xml:space="preserve">: </w:t>
      </w:r>
      <w:r w:rsidR="00E86C4A" w:rsidRPr="00FF7074">
        <w:rPr>
          <w:rFonts w:eastAsia="Verdana" w:cs="Verdana"/>
          <w:i/>
          <w:color w:val="4B4F54" w:themeColor="text1"/>
          <w:sz w:val="18"/>
          <w:szCs w:val="18"/>
          <w:lang w:val="pt-PT" w:eastAsia="en-US"/>
        </w:rPr>
        <w:t>N</w:t>
      </w:r>
      <w:r w:rsidRPr="00FF7074">
        <w:rPr>
          <w:rFonts w:eastAsia="Verdana" w:cs="Verdana"/>
          <w:i/>
          <w:color w:val="4B4F54" w:themeColor="text1"/>
          <w:sz w:val="18"/>
          <w:szCs w:val="18"/>
          <w:lang w:val="pt-PT" w:eastAsia="en-US"/>
        </w:rPr>
        <w:t xml:space="preserve">úmero de </w:t>
      </w:r>
      <w:proofErr w:type="spellStart"/>
      <w:r w:rsidRPr="00FF7074">
        <w:rPr>
          <w:rFonts w:eastAsia="Verdana" w:cs="Verdana"/>
          <w:i/>
          <w:color w:val="4B4F54" w:themeColor="text1"/>
          <w:sz w:val="18"/>
          <w:szCs w:val="18"/>
          <w:lang w:val="pt-PT" w:eastAsia="en-US"/>
        </w:rPr>
        <w:t>spin-offs</w:t>
      </w:r>
      <w:proofErr w:type="spellEnd"/>
      <w:r w:rsidRPr="00FF7074">
        <w:rPr>
          <w:rFonts w:eastAsia="Verdana" w:cs="Verdana"/>
          <w:i/>
          <w:color w:val="4B4F54" w:themeColor="text1"/>
          <w:sz w:val="18"/>
          <w:szCs w:val="18"/>
          <w:lang w:val="pt-PT" w:eastAsia="en-US"/>
        </w:rPr>
        <w:t xml:space="preserve"> criadas a partir de tecnologias desenvolvidas nas universidades indicadas entre 2015 e 2021.</w:t>
      </w:r>
    </w:p>
    <w:p w14:paraId="6C788520" w14:textId="7759D7EA" w:rsidR="006C0991" w:rsidRPr="00FF7074" w:rsidRDefault="006C0991" w:rsidP="006C0991">
      <w:pPr>
        <w:spacing w:before="0" w:after="200"/>
        <w:ind w:firstLine="0"/>
        <w:jc w:val="center"/>
        <w:rPr>
          <w:rFonts w:eastAsia="Verdana" w:cs="Verdana"/>
          <w:i/>
          <w:color w:val="4B4F54" w:themeColor="text1"/>
          <w:sz w:val="16"/>
          <w:szCs w:val="16"/>
          <w:lang w:val="pt-PT" w:eastAsia="en-US"/>
        </w:rPr>
      </w:pPr>
      <w:r w:rsidRPr="00FF7074">
        <w:rPr>
          <w:rFonts w:eastAsia="Verdana" w:cs="Verdana"/>
          <w:i/>
          <w:color w:val="4B4F54" w:themeColor="text1"/>
          <w:sz w:val="16"/>
          <w:szCs w:val="16"/>
          <w:lang w:val="pt-PT" w:eastAsia="en-US"/>
        </w:rPr>
        <w:t xml:space="preserve">Fonte: </w:t>
      </w:r>
      <w:r w:rsidR="00124129" w:rsidRPr="00FF7074">
        <w:rPr>
          <w:rFonts w:eastAsia="Verdana" w:cs="Verdana"/>
          <w:i/>
          <w:color w:val="4B4F54" w:themeColor="text1"/>
          <w:sz w:val="16"/>
          <w:szCs w:val="16"/>
          <w:lang w:val="pt-PT" w:eastAsia="en-US"/>
        </w:rPr>
        <w:t>P</w:t>
      </w:r>
      <w:r w:rsidRPr="00FF7074">
        <w:rPr>
          <w:rFonts w:eastAsia="Verdana" w:cs="Verdana"/>
          <w:i/>
          <w:color w:val="4B4F54" w:themeColor="text1"/>
          <w:sz w:val="16"/>
          <w:szCs w:val="16"/>
          <w:lang w:val="pt-PT" w:eastAsia="en-US"/>
        </w:rPr>
        <w:t>ágina web das universidades; elaboração própria.</w:t>
      </w:r>
    </w:p>
    <w:p w14:paraId="6F8C1CE7" w14:textId="31E3ADA1" w:rsidR="006C0991" w:rsidRPr="00FF7074" w:rsidRDefault="006C0991" w:rsidP="006C0991">
      <w:pPr>
        <w:spacing w:before="0" w:after="160"/>
        <w:ind w:firstLine="0"/>
        <w:rPr>
          <w:rFonts w:eastAsia="Verdana" w:cs="Verdana"/>
          <w:lang w:val="pt-PT" w:eastAsia="pt-PT"/>
        </w:rPr>
      </w:pPr>
      <w:r w:rsidRPr="00FF7074">
        <w:rPr>
          <w:rFonts w:eastAsia="Calibri"/>
          <w:lang w:val="pt-PT" w:eastAsia="pt-PT"/>
        </w:rPr>
        <w:lastRenderedPageBreak/>
        <w:tab/>
      </w:r>
      <w:r w:rsidRPr="00FF7074">
        <w:rPr>
          <w:rFonts w:eastAsia="Verdana" w:cs="Verdana"/>
          <w:lang w:val="pt-PT" w:eastAsia="pt-PT"/>
        </w:rPr>
        <w:t xml:space="preserve">Em última instância, as tecnologias geradas dentro dos domínios do MIT, da CMU e da Universidade do Texas geraram, conjuntamente, mais de US$ 600 milhões em receitas para as três universidades entre 2015 e 2021 (Fig. 4). Os ativos licenciados pelo MIT retornaram pouco mais de US$ 400 milhões, uma impressionante média de quase US$ 70 milhões ao ano. CMU e Universidade do Texas tiveram benefícios financeiros da ordem de US$ 90 e US$ 130 milhões, </w:t>
      </w:r>
      <w:r w:rsidR="00472B72" w:rsidRPr="00FF7074">
        <w:rPr>
          <w:rFonts w:eastAsia="Verdana" w:cs="Verdana"/>
          <w:lang w:val="pt-PT" w:eastAsia="pt-PT"/>
        </w:rPr>
        <w:t>respetivamente</w:t>
      </w:r>
      <w:r w:rsidRPr="00FF7074">
        <w:rPr>
          <w:rFonts w:eastAsia="Verdana" w:cs="Verdana"/>
          <w:lang w:val="pt-PT" w:eastAsia="pt-PT"/>
        </w:rPr>
        <w:t xml:space="preserve">. </w:t>
      </w:r>
    </w:p>
    <w:p w14:paraId="6D3DBA28" w14:textId="77777777" w:rsidR="006C0991" w:rsidRPr="00FF7074" w:rsidRDefault="006C0991" w:rsidP="00022602">
      <w:pPr>
        <w:spacing w:before="0" w:after="160"/>
        <w:ind w:firstLine="0"/>
        <w:rPr>
          <w:rFonts w:eastAsia="Verdana" w:cs="Verdana"/>
          <w:lang w:val="pt-PT" w:eastAsia="pt-PT"/>
        </w:rPr>
      </w:pPr>
      <w:r w:rsidRPr="00FF7074">
        <w:rPr>
          <w:rFonts w:eastAsia="Verdana" w:cs="Verdana"/>
          <w:lang w:val="pt-PT" w:eastAsia="pt-PT"/>
        </w:rPr>
        <w:t xml:space="preserve">As receitas financeiras resultantes de licenciamento contribuem para a perpetuação de um </w:t>
      </w:r>
      <w:proofErr w:type="gramStart"/>
      <w:r w:rsidRPr="00FF7074">
        <w:rPr>
          <w:rFonts w:eastAsia="Verdana" w:cs="Verdana"/>
          <w:lang w:val="pt-PT" w:eastAsia="pt-PT"/>
        </w:rPr>
        <w:t>ciclo</w:t>
      </w:r>
      <w:proofErr w:type="gramEnd"/>
      <w:r w:rsidRPr="00FF7074">
        <w:rPr>
          <w:rFonts w:eastAsia="Verdana" w:cs="Verdana"/>
          <w:lang w:val="pt-PT" w:eastAsia="pt-PT"/>
        </w:rPr>
        <w:t xml:space="preserve"> virtuoso de I&amp;D acadêmica. Recursos aportados em investigação científica de ponta, transformam-se em novas tecnologias que, consequentemente, dão base a novas transações as quais, por sua vez, medeiam a transferência de conhecimento de alto valor agregado à sociedade e trazem mais investimentos às instituições envolvidas.</w:t>
      </w:r>
    </w:p>
    <w:p w14:paraId="741B94A1" w14:textId="77777777" w:rsidR="006C0991" w:rsidRPr="00FF7074" w:rsidRDefault="006C0991" w:rsidP="006C0991">
      <w:pPr>
        <w:spacing w:before="0" w:after="200"/>
        <w:ind w:firstLine="0"/>
        <w:jc w:val="center"/>
        <w:rPr>
          <w:rFonts w:eastAsia="Verdana" w:cs="Verdana"/>
          <w:iCs/>
          <w:lang w:val="pt-PT" w:eastAsia="en-US"/>
        </w:rPr>
      </w:pPr>
      <w:r w:rsidRPr="00FF7074">
        <w:rPr>
          <w:rFonts w:eastAsia="Calibri"/>
          <w:noProof/>
          <w:lang w:val="pt-PT" w:eastAsia="en-US"/>
        </w:rPr>
        <w:drawing>
          <wp:inline distT="0" distB="0" distL="0" distR="0" wp14:anchorId="2FE732BE" wp14:editId="539273DF">
            <wp:extent cx="4680000" cy="2520000"/>
            <wp:effectExtent l="0" t="0" r="6350" b="0"/>
            <wp:docPr id="40" name="Gráfico 40">
              <a:extLst xmlns:a="http://schemas.openxmlformats.org/drawingml/2006/main">
                <a:ext uri="{FF2B5EF4-FFF2-40B4-BE49-F238E27FC236}">
                  <a16:creationId xmlns:a16="http://schemas.microsoft.com/office/drawing/2014/main" id="{6CFB5C41-C51D-F6E3-CACB-4848B928317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AC5E330" w14:textId="6A565D9A" w:rsidR="00124129" w:rsidRPr="00FF7074" w:rsidRDefault="006C0991" w:rsidP="00124129">
      <w:pPr>
        <w:spacing w:before="0" w:after="0"/>
        <w:ind w:firstLine="0"/>
        <w:jc w:val="center"/>
        <w:rPr>
          <w:rFonts w:eastAsia="Verdana" w:cs="Verdana"/>
          <w:i/>
          <w:color w:val="4B4F54" w:themeColor="text1"/>
          <w:sz w:val="18"/>
          <w:szCs w:val="18"/>
          <w:lang w:val="pt-PT" w:eastAsia="en-US"/>
        </w:rPr>
      </w:pPr>
      <w:bookmarkStart w:id="39" w:name="_Hlk137792781"/>
      <w:r w:rsidRPr="00FF7074">
        <w:rPr>
          <w:rFonts w:eastAsia="Verdana" w:cs="Verdana"/>
          <w:i/>
          <w:color w:val="4B4F54" w:themeColor="text1"/>
          <w:sz w:val="18"/>
          <w:szCs w:val="18"/>
          <w:lang w:val="pt-PT" w:eastAsia="en-US"/>
        </w:rPr>
        <w:t xml:space="preserve">Figura </w:t>
      </w:r>
      <w:r w:rsidRPr="00FF7074">
        <w:rPr>
          <w:rFonts w:eastAsia="Calibri"/>
          <w:i/>
          <w:color w:val="4B4F54" w:themeColor="text1"/>
          <w:sz w:val="18"/>
          <w:szCs w:val="18"/>
          <w:lang w:val="pt-PT" w:eastAsia="en-US"/>
        </w:rPr>
        <w:fldChar w:fldCharType="begin"/>
      </w:r>
      <w:r w:rsidRPr="00FF7074">
        <w:rPr>
          <w:rFonts w:eastAsia="Calibri"/>
          <w:i/>
          <w:color w:val="4B4F54" w:themeColor="text1"/>
          <w:sz w:val="18"/>
          <w:szCs w:val="18"/>
          <w:lang w:val="pt-PT" w:eastAsia="en-US"/>
        </w:rPr>
        <w:instrText xml:space="preserve"> SEQ Figura \* ARABIC </w:instrText>
      </w:r>
      <w:r w:rsidRPr="00FF7074">
        <w:rPr>
          <w:rFonts w:eastAsia="Calibri"/>
          <w:i/>
          <w:color w:val="4B4F54" w:themeColor="text1"/>
          <w:sz w:val="18"/>
          <w:szCs w:val="18"/>
          <w:lang w:val="pt-PT" w:eastAsia="en-US"/>
        </w:rPr>
        <w:fldChar w:fldCharType="separate"/>
      </w:r>
      <w:r w:rsidR="008617AF">
        <w:rPr>
          <w:rFonts w:eastAsia="Calibri"/>
          <w:i/>
          <w:noProof/>
          <w:color w:val="4B4F54" w:themeColor="text1"/>
          <w:sz w:val="18"/>
          <w:szCs w:val="18"/>
          <w:lang w:val="pt-PT" w:eastAsia="en-US"/>
        </w:rPr>
        <w:t>4</w:t>
      </w:r>
      <w:r w:rsidRPr="00FF7074">
        <w:rPr>
          <w:rFonts w:eastAsia="Calibri"/>
          <w:i/>
          <w:color w:val="4B4F54" w:themeColor="text1"/>
          <w:sz w:val="18"/>
          <w:szCs w:val="18"/>
          <w:lang w:val="pt-PT" w:eastAsia="en-US"/>
        </w:rPr>
        <w:fldChar w:fldCharType="end"/>
      </w:r>
      <w:r w:rsidRPr="00FF7074">
        <w:rPr>
          <w:rFonts w:eastAsia="Verdana" w:cs="Verdana"/>
          <w:i/>
          <w:color w:val="4B4F54" w:themeColor="text1"/>
          <w:sz w:val="18"/>
          <w:szCs w:val="18"/>
          <w:lang w:val="pt-PT" w:eastAsia="en-US"/>
        </w:rPr>
        <w:t>: Receitas recebidas entre 2015 e 2021 derivadas de tecnologias negociadas.</w:t>
      </w:r>
    </w:p>
    <w:p w14:paraId="6121C751" w14:textId="47F19AA1" w:rsidR="006C0991" w:rsidRPr="00FF7074" w:rsidRDefault="006C0991" w:rsidP="006C0991">
      <w:pPr>
        <w:spacing w:before="0" w:after="200"/>
        <w:ind w:firstLine="0"/>
        <w:jc w:val="center"/>
        <w:rPr>
          <w:rFonts w:eastAsia="Verdana" w:cs="Verdana"/>
          <w:i/>
          <w:color w:val="4B4F54" w:themeColor="text1"/>
          <w:sz w:val="16"/>
          <w:szCs w:val="16"/>
          <w:lang w:val="pt-PT" w:eastAsia="en-US"/>
        </w:rPr>
      </w:pPr>
      <w:r w:rsidRPr="00FF7074">
        <w:rPr>
          <w:rFonts w:eastAsia="Verdana" w:cs="Verdana"/>
          <w:i/>
          <w:color w:val="4B4F54" w:themeColor="text1"/>
          <w:sz w:val="16"/>
          <w:szCs w:val="16"/>
          <w:lang w:val="pt-PT" w:eastAsia="en-US"/>
        </w:rPr>
        <w:t>Fonte: página web das universidades; elaboração própria.</w:t>
      </w:r>
    </w:p>
    <w:bookmarkEnd w:id="39"/>
    <w:p w14:paraId="67E85EBE" w14:textId="77777777" w:rsidR="006C0991" w:rsidRPr="00FF7074" w:rsidRDefault="006C0991" w:rsidP="006C0991">
      <w:pPr>
        <w:spacing w:before="0" w:after="160"/>
        <w:ind w:firstLine="0"/>
        <w:rPr>
          <w:rFonts w:eastAsia="Verdana" w:cs="Verdana"/>
          <w:lang w:val="pt-PT" w:eastAsia="pt-PT"/>
        </w:rPr>
      </w:pPr>
    </w:p>
    <w:p w14:paraId="3B841614" w14:textId="58878393" w:rsidR="0059548E" w:rsidRPr="00FF7074" w:rsidRDefault="006C0991" w:rsidP="006C0991">
      <w:pPr>
        <w:ind w:firstLine="0"/>
        <w:rPr>
          <w:rFonts w:eastAsia="Verdana" w:cs="Verdana"/>
          <w:lang w:val="pt-PT" w:eastAsia="pt-PT"/>
        </w:rPr>
      </w:pPr>
      <w:r w:rsidRPr="00FF7074">
        <w:rPr>
          <w:rFonts w:eastAsia="Calibri"/>
          <w:lang w:val="pt-PT" w:eastAsia="pt-PT"/>
        </w:rPr>
        <w:tab/>
      </w:r>
      <w:r w:rsidRPr="00FF7074">
        <w:rPr>
          <w:rFonts w:eastAsia="Verdana" w:cs="Verdana"/>
          <w:lang w:val="pt-PT" w:eastAsia="pt-PT"/>
        </w:rPr>
        <w:t>A seguir estão detalhadas as práticas dos gabinetes de transferência de tecnologia associados a cada uma das instituições mencionadas acima, que as proporcionaram alcançar as marcas supracitadas.</w:t>
      </w:r>
    </w:p>
    <w:p w14:paraId="7371D32D" w14:textId="77777777" w:rsidR="0059548E" w:rsidRPr="00FF7074" w:rsidRDefault="0059548E" w:rsidP="00A14801">
      <w:pPr>
        <w:ind w:firstLine="0"/>
        <w:rPr>
          <w:rFonts w:eastAsia="Verdana" w:cs="Verdana"/>
          <w:lang w:val="pt-PT" w:eastAsia="pt-PT"/>
        </w:rPr>
      </w:pPr>
    </w:p>
    <w:p w14:paraId="77435F96" w14:textId="77777777" w:rsidR="0059548E" w:rsidRPr="00FF7074" w:rsidRDefault="0059548E" w:rsidP="00A14801">
      <w:pPr>
        <w:ind w:firstLine="0"/>
        <w:rPr>
          <w:rFonts w:eastAsia="Verdana" w:cs="Verdana"/>
          <w:lang w:val="pt-PT" w:eastAsia="pt-PT"/>
        </w:rPr>
      </w:pPr>
    </w:p>
    <w:p w14:paraId="7E8857E3" w14:textId="77777777" w:rsidR="0059548E" w:rsidRPr="00FF7074" w:rsidRDefault="0059548E" w:rsidP="00A14801">
      <w:pPr>
        <w:ind w:firstLine="0"/>
        <w:rPr>
          <w:rFonts w:eastAsia="Verdana" w:cs="Verdana"/>
          <w:lang w:val="pt-PT" w:eastAsia="pt-PT"/>
        </w:rPr>
      </w:pPr>
    </w:p>
    <w:p w14:paraId="61B8223E" w14:textId="77777777" w:rsidR="0059548E" w:rsidRPr="00FF7074" w:rsidRDefault="0059548E" w:rsidP="00A14801">
      <w:pPr>
        <w:ind w:firstLine="0"/>
        <w:rPr>
          <w:lang w:val="pt-PT"/>
        </w:rPr>
      </w:pPr>
    </w:p>
    <w:p w14:paraId="733E716C" w14:textId="77777777" w:rsidR="00362718" w:rsidRPr="00FF7074" w:rsidRDefault="00362718" w:rsidP="00BB43B5">
      <w:pPr>
        <w:pStyle w:val="PargrafodaLista"/>
        <w:numPr>
          <w:ilvl w:val="0"/>
          <w:numId w:val="15"/>
        </w:numPr>
        <w:spacing w:before="480" w:after="240"/>
        <w:outlineLvl w:val="1"/>
        <w:rPr>
          <w:rFonts w:eastAsia="Arial Unicode MS" w:cs="Calibri"/>
          <w:bCs/>
          <w:vanish/>
          <w:color w:val="0033FF" w:themeColor="accent2"/>
          <w:kern w:val="0"/>
          <w:sz w:val="22"/>
          <w:szCs w:val="22"/>
          <w:lang w:val="pt-PT"/>
        </w:rPr>
      </w:pPr>
      <w:bookmarkStart w:id="40" w:name="_Toc137833384"/>
      <w:bookmarkStart w:id="41" w:name="_Toc137846992"/>
      <w:bookmarkStart w:id="42" w:name="_Toc138028258"/>
      <w:bookmarkStart w:id="43" w:name="_Toc138420938"/>
      <w:bookmarkEnd w:id="40"/>
      <w:bookmarkEnd w:id="41"/>
      <w:bookmarkEnd w:id="42"/>
      <w:bookmarkEnd w:id="43"/>
    </w:p>
    <w:p w14:paraId="566F96B0" w14:textId="736945C6" w:rsidR="00E97C8D" w:rsidRPr="00FF7074" w:rsidRDefault="000C01B2" w:rsidP="003453B8">
      <w:pPr>
        <w:pStyle w:val="Ttulo2"/>
      </w:pPr>
      <w:bookmarkStart w:id="44" w:name="_Toc138420939"/>
      <w:r w:rsidRPr="00FF7074">
        <w:t xml:space="preserve">Massachusetts </w:t>
      </w:r>
      <w:proofErr w:type="spellStart"/>
      <w:r w:rsidRPr="00FF7074">
        <w:t>Institute</w:t>
      </w:r>
      <w:proofErr w:type="spellEnd"/>
      <w:r w:rsidRPr="00FF7074">
        <w:t xml:space="preserve"> of </w:t>
      </w:r>
      <w:proofErr w:type="spellStart"/>
      <w:r w:rsidRPr="00FF7074">
        <w:t>Technology</w:t>
      </w:r>
      <w:proofErr w:type="spellEnd"/>
      <w:r w:rsidRPr="00FF7074">
        <w:t xml:space="preserve"> </w:t>
      </w:r>
      <w:r w:rsidR="00737D23" w:rsidRPr="00FF7074">
        <w:t>- MIT</w:t>
      </w:r>
      <w:bookmarkEnd w:id="44"/>
      <w:r w:rsidR="00E97C8D" w:rsidRPr="00FF7074">
        <w:t xml:space="preserve"> </w:t>
      </w:r>
    </w:p>
    <w:p w14:paraId="3E746C49" w14:textId="77777777" w:rsidR="00BA6BDD" w:rsidRPr="00FF7074" w:rsidRDefault="00BA6BDD" w:rsidP="00C67662">
      <w:pPr>
        <w:pStyle w:val="PargrafodaLista"/>
        <w:ind w:left="0" w:firstLine="0"/>
        <w:rPr>
          <w:rFonts w:eastAsia="Verdana" w:cs="Verdana"/>
          <w:lang w:val="pt-PT" w:eastAsia="pt-PT"/>
        </w:rPr>
      </w:pPr>
      <w:r w:rsidRPr="00FF7074">
        <w:rPr>
          <w:rFonts w:eastAsia="Verdana" w:cs="Verdana"/>
          <w:lang w:val="pt-PT" w:eastAsia="pt-PT"/>
        </w:rPr>
        <w:t xml:space="preserve">O TTO do Massachusetts </w:t>
      </w:r>
      <w:proofErr w:type="spellStart"/>
      <w:r w:rsidRPr="00FF7074">
        <w:rPr>
          <w:rFonts w:eastAsia="Verdana" w:cs="Verdana"/>
          <w:lang w:val="pt-PT" w:eastAsia="pt-PT"/>
        </w:rPr>
        <w:t>Institute</w:t>
      </w:r>
      <w:proofErr w:type="spellEnd"/>
      <w:r w:rsidRPr="00FF7074">
        <w:rPr>
          <w:rFonts w:eastAsia="Verdana" w:cs="Verdana"/>
          <w:lang w:val="pt-PT" w:eastAsia="pt-PT"/>
        </w:rPr>
        <w:t xml:space="preserve"> of </w:t>
      </w:r>
      <w:proofErr w:type="spellStart"/>
      <w:r w:rsidRPr="00FF7074">
        <w:rPr>
          <w:rFonts w:eastAsia="Verdana" w:cs="Verdana"/>
          <w:lang w:val="pt-PT" w:eastAsia="pt-PT"/>
        </w:rPr>
        <w:t>Technology</w:t>
      </w:r>
      <w:proofErr w:type="spellEnd"/>
      <w:r w:rsidRPr="00FF7074">
        <w:rPr>
          <w:rFonts w:eastAsia="Verdana" w:cs="Verdana"/>
          <w:lang w:val="pt-PT" w:eastAsia="pt-PT"/>
        </w:rPr>
        <w:t xml:space="preserve"> (MIT) liga as empresas à investigação de ponta e às inovações da universidade. Este programa tem facilitado com sucesso colaborações e parcerias entre várias empresas e investigadores do MIT, resultando em inúmeras tecnologias e produtos inovadores. O ILP tira partido de recursos como o MIT Startup Exchange, onde as empresas em fase de arranque podem ter acesso a orientação, financiamento e oportunidades de estabelecimento de contactos. </w:t>
      </w:r>
    </w:p>
    <w:p w14:paraId="136AFD72" w14:textId="77777777" w:rsidR="00BA6BDD" w:rsidRPr="00FF7074" w:rsidRDefault="00BA6BDD" w:rsidP="00C67662">
      <w:pPr>
        <w:pStyle w:val="PargrafodaLista"/>
        <w:ind w:left="0" w:firstLine="0"/>
        <w:rPr>
          <w:rFonts w:eastAsia="Verdana" w:cs="Verdana"/>
          <w:lang w:val="pt-PT" w:eastAsia="pt-PT"/>
        </w:rPr>
      </w:pPr>
      <w:r w:rsidRPr="00FF7074">
        <w:rPr>
          <w:rFonts w:eastAsiaTheme="majorEastAsia" w:cs="Calibri"/>
          <w:lang w:val="pt-PT" w:eastAsia="pt-PT"/>
        </w:rPr>
        <w:tab/>
      </w:r>
      <w:r w:rsidRPr="00FF7074">
        <w:rPr>
          <w:rFonts w:eastAsia="Verdana" w:cs="Verdana"/>
          <w:lang w:val="pt-PT" w:eastAsia="pt-PT"/>
        </w:rPr>
        <w:t>O MIT tem um forte enfoque na transferência de tecnologia e no empreendedorismo, deixando clara e legalmente fundamentada tal intenção já nas suas políticas de PI. Conforme declara o Instituto, o objetivo da política sobre patentes, direitos autorais e outras propriedades intelectuais é disponibilizar a tecnologia do Instituto para a indústria e outros, para o benefício público, ao mesmo tempo em que oferece reconhecimento a inventores individuais e incentiva a disseminação imediata e aberta dos resultados da pesquisa.</w:t>
      </w:r>
    </w:p>
    <w:p w14:paraId="0A89B87D" w14:textId="3DC8A461" w:rsidR="00BA6BDD" w:rsidRPr="00FF7074" w:rsidRDefault="00BA6BDD" w:rsidP="00C67662">
      <w:pPr>
        <w:pStyle w:val="PargrafodaLista"/>
        <w:ind w:left="0" w:firstLine="0"/>
        <w:rPr>
          <w:rFonts w:eastAsia="Verdana" w:cs="Verdana"/>
          <w:lang w:val="pt-PT" w:eastAsia="pt-PT"/>
        </w:rPr>
      </w:pPr>
      <w:r w:rsidRPr="00FF7074">
        <w:rPr>
          <w:rFonts w:eastAsiaTheme="majorEastAsia" w:cs="Calibri"/>
          <w:lang w:val="pt-PT" w:eastAsia="pt-PT"/>
        </w:rPr>
        <w:tab/>
      </w:r>
      <w:r w:rsidRPr="00FF7074">
        <w:rPr>
          <w:rFonts w:eastAsia="Verdana" w:cs="Verdana"/>
          <w:lang w:val="pt-PT" w:eastAsia="pt-PT"/>
        </w:rPr>
        <w:t xml:space="preserve">A Política de Propriedade Intelectual do Instituto tem capítulos específicos para tratar da titularidade, da obrigatoriedade de divulgação de invenções, do licenciamento de direitos de PI, da possibilidade de retorno da titularidade de um ativo para os inventores, entre outros </w:t>
      </w:r>
      <w:r w:rsidR="00043928" w:rsidRPr="00FF7074">
        <w:rPr>
          <w:rFonts w:eastAsia="Verdana" w:cs="Verdana"/>
          <w:lang w:val="pt-PT" w:eastAsia="pt-PT"/>
        </w:rPr>
        <w:t>aspetos</w:t>
      </w:r>
      <w:r w:rsidRPr="00FF7074">
        <w:rPr>
          <w:rFonts w:eastAsia="Verdana" w:cs="Verdana"/>
          <w:lang w:val="pt-PT" w:eastAsia="pt-PT"/>
        </w:rPr>
        <w:t xml:space="preserve"> administrativos da PI. O MIT mantém um histórico público das atualizações de sua Política de PI desde 2007, garantindo a transparência e explicitando a evolução das suas práticas relativas a PI.</w:t>
      </w:r>
    </w:p>
    <w:p w14:paraId="60773E1E" w14:textId="471B73BD" w:rsidR="00BA6BDD" w:rsidRPr="00FF7074" w:rsidRDefault="00BA6BDD" w:rsidP="00C67662">
      <w:pPr>
        <w:pStyle w:val="PargrafodaLista"/>
        <w:tabs>
          <w:tab w:val="left" w:pos="709"/>
        </w:tabs>
        <w:ind w:left="0" w:firstLine="0"/>
        <w:rPr>
          <w:rFonts w:eastAsia="Verdana" w:cs="Verdana"/>
          <w:lang w:val="pt-PT" w:eastAsia="pt-PT"/>
        </w:rPr>
      </w:pPr>
      <w:r w:rsidRPr="00FF7074">
        <w:rPr>
          <w:rFonts w:eastAsia="Verdana" w:cs="Verdana"/>
          <w:lang w:val="pt-PT" w:eastAsia="pt-PT"/>
        </w:rPr>
        <w:t>O processo de admissão de uma nova tecnologia ao portfólio do MIT se inicia com a submissão, por um pesquisador ou grupo de pesquisa, de Formulário de Divulgação de Invenção ao TTO. Neste momento, a tecnologia é avaliada quanto ao potencial comercial e à patenteabilidade, considerando particularmente: (1) problemas resolvidos ou necessidades não atendidas abordadas pela tecnologia, (2) aplicações potenciais tamanho do mercado, (3) potenciais concorrentes/parceiros e (4) desafios potenciais para patenteamento e comercialização; tudo isso com apoio de colaboradores internos e especialistas externos.</w:t>
      </w:r>
    </w:p>
    <w:p w14:paraId="265DDF1A" w14:textId="77777777" w:rsidR="008176B8" w:rsidRPr="00FF7074" w:rsidRDefault="00BA6BDD" w:rsidP="00C67662">
      <w:pPr>
        <w:pStyle w:val="PargrafodaLista"/>
        <w:tabs>
          <w:tab w:val="left" w:pos="709"/>
        </w:tabs>
        <w:ind w:left="0" w:firstLine="0"/>
        <w:rPr>
          <w:rFonts w:eastAsia="Verdana" w:cs="Verdana"/>
          <w:lang w:val="pt-PT" w:eastAsia="pt-PT"/>
        </w:rPr>
      </w:pPr>
      <w:r w:rsidRPr="00FF7074">
        <w:rPr>
          <w:rFonts w:eastAsia="Verdana" w:cs="Verdana"/>
          <w:lang w:val="pt-PT" w:eastAsia="pt-PT"/>
        </w:rPr>
        <w:t xml:space="preserve">Quando um ativo de propriedade intelectual de titularidade do MIT é licenciado e gera receita, o TTO distribui os valores, após todas as despesas operacionais e de patentes do TLO serem reembolsadas, entre (a) inventores, autores e colaboradores de tal propriedade intelectual (conforme aplicável); (b) </w:t>
      </w:r>
      <w:proofErr w:type="spellStart"/>
      <w:r w:rsidRPr="00FF7074">
        <w:rPr>
          <w:rFonts w:eastAsia="Verdana" w:cs="Verdana"/>
          <w:lang w:val="pt-PT" w:eastAsia="pt-PT"/>
        </w:rPr>
        <w:t>co-proprietários</w:t>
      </w:r>
      <w:proofErr w:type="spellEnd"/>
      <w:r w:rsidRPr="00FF7074">
        <w:rPr>
          <w:rFonts w:eastAsia="Verdana" w:cs="Verdana"/>
          <w:lang w:val="pt-PT" w:eastAsia="pt-PT"/>
        </w:rPr>
        <w:t xml:space="preserve"> da PI (conforme aplicável); (c) departamentos, laboratórios e centros relevantes do MIT; e (d) o Fundo Geral do MIT a ser usado para fins educacionais e de pesquisa.</w:t>
      </w:r>
    </w:p>
    <w:p w14:paraId="0EFF66E6" w14:textId="7A44AA14" w:rsidR="00BA6BDD" w:rsidRPr="00FF7074" w:rsidRDefault="00BA6BDD" w:rsidP="00C67662">
      <w:pPr>
        <w:pStyle w:val="PargrafodaLista"/>
        <w:tabs>
          <w:tab w:val="left" w:pos="709"/>
        </w:tabs>
        <w:ind w:left="0" w:firstLine="0"/>
        <w:rPr>
          <w:rFonts w:eastAsia="Verdana" w:cs="Verdana"/>
          <w:lang w:val="pt-PT" w:eastAsia="pt-PT"/>
        </w:rPr>
      </w:pPr>
      <w:r w:rsidRPr="00FF7074">
        <w:rPr>
          <w:rFonts w:eastAsia="Verdana" w:cs="Verdana"/>
          <w:lang w:val="pt-PT" w:eastAsia="pt-PT"/>
        </w:rPr>
        <w:lastRenderedPageBreak/>
        <w:t xml:space="preserve">Em toda a sua história, o TTO do MIT já recebeu mais de 22 mil notificações de invenção e firmou mais de 3 mil acordos de licenciamento de tecnologia. Ou seja, quase 15% das tecnologias desenvolvidas pelo MIT já foram licenciadas. Ainda o TTO do Instituto colaborou para a criação de mais de 500 empresas, incluindo a </w:t>
      </w:r>
      <w:proofErr w:type="spellStart"/>
      <w:r w:rsidRPr="00FF7074">
        <w:rPr>
          <w:rFonts w:eastAsia="Verdana" w:cs="Verdana"/>
          <w:lang w:val="pt-PT" w:eastAsia="pt-PT"/>
        </w:rPr>
        <w:t>Akamai</w:t>
      </w:r>
      <w:proofErr w:type="spellEnd"/>
      <w:r w:rsidRPr="00FF7074">
        <w:rPr>
          <w:rFonts w:eastAsia="Verdana" w:cs="Verdana"/>
          <w:lang w:val="pt-PT" w:eastAsia="pt-PT"/>
        </w:rPr>
        <w:t xml:space="preserve"> Technologies, a 3Com </w:t>
      </w:r>
      <w:proofErr w:type="spellStart"/>
      <w:r w:rsidRPr="00FF7074">
        <w:rPr>
          <w:rFonts w:eastAsia="Verdana" w:cs="Verdana"/>
          <w:lang w:val="pt-PT" w:eastAsia="pt-PT"/>
        </w:rPr>
        <w:t>Corporation</w:t>
      </w:r>
      <w:proofErr w:type="spellEnd"/>
      <w:r w:rsidRPr="00FF7074">
        <w:rPr>
          <w:rFonts w:eastAsia="Verdana" w:cs="Verdana"/>
          <w:lang w:val="pt-PT" w:eastAsia="pt-PT"/>
        </w:rPr>
        <w:t xml:space="preserve"> e a </w:t>
      </w:r>
      <w:proofErr w:type="spellStart"/>
      <w:r w:rsidRPr="00FF7074">
        <w:rPr>
          <w:rFonts w:eastAsia="Verdana" w:cs="Verdana"/>
          <w:lang w:val="pt-PT" w:eastAsia="pt-PT"/>
        </w:rPr>
        <w:t>Genzyme</w:t>
      </w:r>
      <w:proofErr w:type="spellEnd"/>
      <w:r w:rsidRPr="00FF7074">
        <w:rPr>
          <w:rFonts w:eastAsia="Verdana" w:cs="Verdana"/>
          <w:lang w:val="pt-PT" w:eastAsia="pt-PT"/>
        </w:rPr>
        <w:t xml:space="preserve"> </w:t>
      </w:r>
      <w:proofErr w:type="spellStart"/>
      <w:r w:rsidRPr="00FF7074">
        <w:rPr>
          <w:rFonts w:eastAsia="Verdana" w:cs="Verdana"/>
          <w:lang w:val="pt-PT" w:eastAsia="pt-PT"/>
        </w:rPr>
        <w:t>Corporation</w:t>
      </w:r>
      <w:proofErr w:type="spellEnd"/>
      <w:r w:rsidRPr="00FF7074">
        <w:rPr>
          <w:rFonts w:eastAsia="Verdana" w:cs="Verdana"/>
          <w:lang w:val="pt-PT" w:eastAsia="pt-PT"/>
        </w:rPr>
        <w:t>. O envolvimento do MIT na fundação do Centro de Inovação de Cambridge (CIC) também contribuiu para o crescimento do ecossistema de empresas em fase de arranque na zona de Boston.</w:t>
      </w:r>
    </w:p>
    <w:p w14:paraId="7DAFE4C8" w14:textId="02B2799B" w:rsidR="00BA6BDD" w:rsidRPr="00FF7074" w:rsidRDefault="00BA6BDD" w:rsidP="00C67662">
      <w:pPr>
        <w:suppressAutoHyphens/>
        <w:ind w:firstLine="0"/>
        <w:rPr>
          <w:lang w:val="pt-PT"/>
        </w:rPr>
      </w:pPr>
      <w:r w:rsidRPr="00FF7074">
        <w:rPr>
          <w:rFonts w:eastAsiaTheme="majorEastAsia" w:cs="Calibri"/>
          <w:lang w:val="pt-PT" w:eastAsia="pt-PT"/>
        </w:rPr>
        <w:tab/>
      </w:r>
      <w:r w:rsidRPr="00FF7074">
        <w:rPr>
          <w:rFonts w:eastAsia="Verdana" w:cs="Verdana"/>
          <w:lang w:val="pt-PT" w:eastAsia="pt-PT"/>
        </w:rPr>
        <w:t xml:space="preserve">Uma das muitas iniciativas do MIT é o Centro </w:t>
      </w:r>
      <w:proofErr w:type="spellStart"/>
      <w:r w:rsidRPr="00FF7074">
        <w:rPr>
          <w:rFonts w:eastAsia="Verdana" w:cs="Verdana"/>
          <w:lang w:val="pt-PT" w:eastAsia="pt-PT"/>
        </w:rPr>
        <w:t>Deshpande</w:t>
      </w:r>
      <w:proofErr w:type="spellEnd"/>
      <w:r w:rsidRPr="00FF7074">
        <w:rPr>
          <w:rFonts w:eastAsia="Verdana" w:cs="Verdana"/>
          <w:lang w:val="pt-PT" w:eastAsia="pt-PT"/>
        </w:rPr>
        <w:t xml:space="preserve"> para a Inovação Tecnológica, que comercializou com êxito mais de 30 </w:t>
      </w:r>
      <w:r w:rsidR="008F46AE" w:rsidRPr="00FF7074">
        <w:rPr>
          <w:rFonts w:eastAsia="Verdana" w:cs="Verdana"/>
          <w:lang w:val="pt-PT" w:eastAsia="pt-PT"/>
        </w:rPr>
        <w:t>projetos</w:t>
      </w:r>
      <w:r w:rsidRPr="00FF7074">
        <w:rPr>
          <w:rFonts w:eastAsia="Verdana" w:cs="Verdana"/>
          <w:lang w:val="pt-PT" w:eastAsia="pt-PT"/>
        </w:rPr>
        <w:t xml:space="preserve">, incluindo materiais avançados, biotecnologia e soluções energéticas. Um exemplo é a A123 </w:t>
      </w:r>
      <w:proofErr w:type="spellStart"/>
      <w:r w:rsidRPr="00FF7074">
        <w:rPr>
          <w:rFonts w:eastAsia="Verdana" w:cs="Verdana"/>
          <w:lang w:val="pt-PT" w:eastAsia="pt-PT"/>
        </w:rPr>
        <w:t>Systems</w:t>
      </w:r>
      <w:proofErr w:type="spellEnd"/>
      <w:r w:rsidRPr="00FF7074">
        <w:rPr>
          <w:rFonts w:eastAsia="Verdana" w:cs="Verdana"/>
          <w:lang w:val="pt-PT" w:eastAsia="pt-PT"/>
        </w:rPr>
        <w:t>, uma empresa que desenvolve baterias avançadas de iões de lítio e sistemas de armazenamento de energia. Atualmente, o MIT tem uma receita anual derivada de licenças de ativos de PI na faixa dos US$ 80 milhões.</w:t>
      </w:r>
    </w:p>
    <w:p w14:paraId="213BE7AA" w14:textId="6D0B65C6" w:rsidR="008176B8" w:rsidRPr="00FF7074" w:rsidRDefault="00202E57" w:rsidP="003453B8">
      <w:pPr>
        <w:pStyle w:val="Ttulo2"/>
      </w:pPr>
      <w:bookmarkStart w:id="45" w:name="_Toc138420940"/>
      <w:r w:rsidRPr="00FF7074">
        <w:t xml:space="preserve">Universidade Carnegie </w:t>
      </w:r>
      <w:proofErr w:type="spellStart"/>
      <w:r w:rsidRPr="00FF7074">
        <w:t>Mellon</w:t>
      </w:r>
      <w:proofErr w:type="spellEnd"/>
      <w:r w:rsidR="00957F42" w:rsidRPr="00FF7074">
        <w:t xml:space="preserve"> - CMU</w:t>
      </w:r>
      <w:bookmarkEnd w:id="45"/>
      <w:r w:rsidR="008176B8" w:rsidRPr="00FF7074">
        <w:t xml:space="preserve"> </w:t>
      </w:r>
    </w:p>
    <w:p w14:paraId="66C8DFB2" w14:textId="77777777" w:rsidR="00BB0661" w:rsidRPr="00FF7074" w:rsidRDefault="00BB0661" w:rsidP="00C67662">
      <w:pPr>
        <w:pStyle w:val="PargrafodaLista"/>
        <w:ind w:left="0" w:firstLine="0"/>
        <w:rPr>
          <w:rFonts w:eastAsia="Verdana" w:cs="Verdana"/>
          <w:lang w:val="pt-PT" w:eastAsia="pt-PT"/>
        </w:rPr>
      </w:pPr>
      <w:r w:rsidRPr="00FF7074">
        <w:rPr>
          <w:rFonts w:eastAsia="Verdana" w:cs="Verdana"/>
          <w:lang w:val="pt-PT" w:eastAsia="pt-PT"/>
        </w:rPr>
        <w:t xml:space="preserve">O Centro de Transferência de Tecnologia e Criação de Empresas (CTTEC) da CMU tem sido </w:t>
      </w:r>
      <w:proofErr w:type="gramStart"/>
      <w:r w:rsidRPr="00FF7074">
        <w:rPr>
          <w:rFonts w:eastAsia="Verdana" w:cs="Verdana"/>
          <w:lang w:val="pt-PT" w:eastAsia="pt-PT"/>
        </w:rPr>
        <w:t>bem sucedido</w:t>
      </w:r>
      <w:proofErr w:type="gramEnd"/>
      <w:r w:rsidRPr="00FF7074">
        <w:rPr>
          <w:rFonts w:eastAsia="Verdana" w:cs="Verdana"/>
          <w:lang w:val="pt-PT" w:eastAsia="pt-PT"/>
        </w:rPr>
        <w:t xml:space="preserve"> na comercialização de tecnologias e no apoio a empresas em fase de arranque.</w:t>
      </w:r>
    </w:p>
    <w:p w14:paraId="433A921F" w14:textId="77777777" w:rsidR="00BB0661" w:rsidRPr="00FF7074" w:rsidRDefault="00BB0661" w:rsidP="00C67662">
      <w:pPr>
        <w:pStyle w:val="PargrafodaLista"/>
        <w:ind w:left="0" w:firstLine="0"/>
        <w:rPr>
          <w:rFonts w:eastAsia="Verdana" w:cs="Verdana"/>
          <w:lang w:val="pt-PT" w:eastAsia="pt-PT"/>
        </w:rPr>
      </w:pPr>
      <w:r w:rsidRPr="00FF7074">
        <w:rPr>
          <w:rFonts w:eastAsiaTheme="majorEastAsia" w:cs="Calibri"/>
          <w:lang w:val="pt-PT" w:eastAsia="pt-PT"/>
        </w:rPr>
        <w:tab/>
      </w:r>
      <w:r w:rsidRPr="00FF7074">
        <w:rPr>
          <w:rFonts w:eastAsia="Verdana" w:cs="Verdana"/>
          <w:lang w:val="pt-PT" w:eastAsia="pt-PT"/>
        </w:rPr>
        <w:t>A Política de PI da CMU também está fundamentada em propósitos de geração de conhecimento e transmissão deste à sociedade ampla, garantindo a partilha de benefícios com os envolvidos. Especificamente, são objetivos da Política de PI (1) criar um ambiente universitário que estimule a geração de novos conhecimentos por professores, funcionários e alunos; (2) facilitar a ampla transferência de invenções úteis e escritos para a sociedade; (3) motivar o desenvolvimento e a disseminação da propriedade intelectual, fornecendo recompensas financeiras apropriadas aos criadores e à universidade e assistência administrativa aos criadores (CARNEGIE MELLON UNIVERSITY, [</w:t>
      </w:r>
      <w:proofErr w:type="spellStart"/>
      <w:r w:rsidRPr="00FF7074">
        <w:rPr>
          <w:rFonts w:eastAsia="Verdana" w:cs="Verdana"/>
          <w:lang w:val="pt-PT" w:eastAsia="pt-PT"/>
        </w:rPr>
        <w:t>s.d</w:t>
      </w:r>
      <w:proofErr w:type="spellEnd"/>
      <w:r w:rsidRPr="00FF7074">
        <w:rPr>
          <w:rFonts w:eastAsia="Verdana" w:cs="Verdana"/>
          <w:lang w:val="pt-PT" w:eastAsia="pt-PT"/>
        </w:rPr>
        <w:t>.]).</w:t>
      </w:r>
    </w:p>
    <w:p w14:paraId="39047CAA" w14:textId="77777777" w:rsidR="00BB0661" w:rsidRPr="00FF7074" w:rsidRDefault="00BB0661" w:rsidP="00C67662">
      <w:pPr>
        <w:pStyle w:val="PargrafodaLista"/>
        <w:ind w:left="0" w:firstLine="0"/>
        <w:rPr>
          <w:rFonts w:eastAsia="Verdana" w:cs="Verdana"/>
          <w:lang w:val="pt-PT" w:eastAsia="pt-PT"/>
        </w:rPr>
      </w:pPr>
      <w:r w:rsidRPr="00FF7074">
        <w:rPr>
          <w:rFonts w:eastAsiaTheme="majorEastAsia" w:cs="Calibri"/>
          <w:lang w:val="pt-PT" w:eastAsia="pt-PT"/>
        </w:rPr>
        <w:tab/>
      </w:r>
      <w:r w:rsidRPr="00FF7074">
        <w:rPr>
          <w:rFonts w:eastAsia="Verdana" w:cs="Verdana"/>
          <w:lang w:val="pt-PT" w:eastAsia="pt-PT"/>
        </w:rPr>
        <w:t>Um ponto bastante interessante dos pilares da Política de PI da CMU é a intenção de garantir que o retorno financeiro do desenvolvimento da propriedade intelectual não distorça as decisões e operações da universidade de maneira contrária à missão da universidade – produzir e disseminar conhecimento. Ainda assim, a política prevê que deve haver incentivos para que todas as partes busquem recompensas financeiras juntas, consistentes com os objetivos expressos da política. A distribuição dessas recompensas deve refletir, na medida do possível, as contribuições criativas do criador e os recursos contribuídos e os riscos assumidos pelo criador e pela universidade no desenvolvimento da propriedade intelectual (CARNEGIE MELLON UNIVERSITY, [</w:t>
      </w:r>
      <w:proofErr w:type="spellStart"/>
      <w:r w:rsidRPr="00FF7074">
        <w:rPr>
          <w:rFonts w:eastAsia="Verdana" w:cs="Verdana"/>
          <w:lang w:val="pt-PT" w:eastAsia="pt-PT"/>
        </w:rPr>
        <w:t>s.d</w:t>
      </w:r>
      <w:proofErr w:type="spellEnd"/>
      <w:r w:rsidRPr="00FF7074">
        <w:rPr>
          <w:rFonts w:eastAsia="Verdana" w:cs="Verdana"/>
          <w:lang w:val="pt-PT" w:eastAsia="pt-PT"/>
        </w:rPr>
        <w:t>.]).</w:t>
      </w:r>
    </w:p>
    <w:p w14:paraId="481130DE" w14:textId="089F6037" w:rsidR="00BB0661" w:rsidRPr="00FF7074" w:rsidRDefault="00BB0661" w:rsidP="00C67662">
      <w:pPr>
        <w:pStyle w:val="PargrafodaLista"/>
        <w:ind w:left="0" w:firstLine="0"/>
        <w:rPr>
          <w:rFonts w:eastAsia="Verdana" w:cs="Verdana"/>
          <w:lang w:val="pt-PT" w:eastAsia="pt-PT"/>
        </w:rPr>
      </w:pPr>
      <w:r w:rsidRPr="00FF7074">
        <w:rPr>
          <w:rFonts w:eastAsia="Verdana" w:cs="Verdana"/>
          <w:lang w:val="pt-PT" w:eastAsia="pt-PT"/>
        </w:rPr>
        <w:lastRenderedPageBreak/>
        <w:t>Como praxe, o processo de admissão de uma tecnologia no portfólio da CMU também se inicia com a divulgação de uma criação, por parte de um pesquisador ou grupo de pesquisa, ao gabinete de transferência de tecnologia da universidade – chamado CTTEC (</w:t>
      </w:r>
      <w:proofErr w:type="spellStart"/>
      <w:r w:rsidRPr="00FF7074">
        <w:rPr>
          <w:rFonts w:eastAsia="Verdana" w:cs="Verdana"/>
          <w:i/>
          <w:lang w:val="pt-PT" w:eastAsia="pt-PT"/>
        </w:rPr>
        <w:t>Center</w:t>
      </w:r>
      <w:proofErr w:type="spellEnd"/>
      <w:r w:rsidRPr="00FF7074">
        <w:rPr>
          <w:rFonts w:eastAsia="Verdana" w:cs="Verdana"/>
          <w:i/>
          <w:lang w:val="pt-PT" w:eastAsia="pt-PT"/>
        </w:rPr>
        <w:t xml:space="preserve"> for </w:t>
      </w:r>
      <w:proofErr w:type="spellStart"/>
      <w:r w:rsidRPr="00FF7074">
        <w:rPr>
          <w:rFonts w:eastAsia="Verdana" w:cs="Verdana"/>
          <w:i/>
          <w:lang w:val="pt-PT" w:eastAsia="pt-PT"/>
        </w:rPr>
        <w:t>Technology</w:t>
      </w:r>
      <w:proofErr w:type="spellEnd"/>
      <w:r w:rsidRPr="00FF7074">
        <w:rPr>
          <w:rFonts w:eastAsia="Verdana" w:cs="Verdana"/>
          <w:i/>
          <w:lang w:val="pt-PT" w:eastAsia="pt-PT"/>
        </w:rPr>
        <w:t xml:space="preserve"> </w:t>
      </w:r>
      <w:proofErr w:type="spellStart"/>
      <w:r w:rsidRPr="00FF7074">
        <w:rPr>
          <w:rFonts w:eastAsia="Verdana" w:cs="Verdana"/>
          <w:i/>
          <w:lang w:val="pt-PT" w:eastAsia="pt-PT"/>
        </w:rPr>
        <w:t>Transfer</w:t>
      </w:r>
      <w:proofErr w:type="spellEnd"/>
      <w:r w:rsidRPr="00FF7074">
        <w:rPr>
          <w:rFonts w:eastAsia="Verdana" w:cs="Verdana"/>
          <w:i/>
          <w:lang w:val="pt-PT" w:eastAsia="pt-PT"/>
        </w:rPr>
        <w:t xml:space="preserve"> </w:t>
      </w:r>
      <w:proofErr w:type="spellStart"/>
      <w:r w:rsidRPr="00FF7074">
        <w:rPr>
          <w:rFonts w:eastAsia="Verdana" w:cs="Verdana"/>
          <w:i/>
          <w:lang w:val="pt-PT" w:eastAsia="pt-PT"/>
        </w:rPr>
        <w:t>and</w:t>
      </w:r>
      <w:proofErr w:type="spellEnd"/>
      <w:r w:rsidRPr="00FF7074">
        <w:rPr>
          <w:rFonts w:eastAsia="Verdana" w:cs="Verdana"/>
          <w:i/>
          <w:lang w:val="pt-PT" w:eastAsia="pt-PT"/>
        </w:rPr>
        <w:t xml:space="preserve"> </w:t>
      </w:r>
      <w:proofErr w:type="spellStart"/>
      <w:r w:rsidRPr="00FF7074">
        <w:rPr>
          <w:rFonts w:eastAsia="Verdana" w:cs="Verdana"/>
          <w:i/>
          <w:lang w:val="pt-PT" w:eastAsia="pt-PT"/>
        </w:rPr>
        <w:t>Enterprise</w:t>
      </w:r>
      <w:proofErr w:type="spellEnd"/>
      <w:r w:rsidRPr="00FF7074">
        <w:rPr>
          <w:rFonts w:eastAsia="Verdana" w:cs="Verdana"/>
          <w:i/>
          <w:lang w:val="pt-PT" w:eastAsia="pt-PT"/>
        </w:rPr>
        <w:t xml:space="preserve"> </w:t>
      </w:r>
      <w:proofErr w:type="spellStart"/>
      <w:r w:rsidRPr="00FF7074">
        <w:rPr>
          <w:rFonts w:eastAsia="Verdana" w:cs="Verdana"/>
          <w:i/>
          <w:lang w:val="pt-PT" w:eastAsia="pt-PT"/>
        </w:rPr>
        <w:t>Creation</w:t>
      </w:r>
      <w:proofErr w:type="spellEnd"/>
      <w:r w:rsidRPr="00FF7074">
        <w:rPr>
          <w:rFonts w:eastAsia="Verdana" w:cs="Verdana"/>
          <w:lang w:val="pt-PT" w:eastAsia="pt-PT"/>
        </w:rPr>
        <w:t>). Em seguida, a matéria é avaliada quanto à sua possibilidade e modalidade de proteção (</w:t>
      </w:r>
      <w:r w:rsidRPr="00FF7074">
        <w:rPr>
          <w:rFonts w:eastAsia="Verdana" w:cs="Verdana"/>
          <w:i/>
          <w:lang w:val="pt-PT" w:eastAsia="pt-PT"/>
        </w:rPr>
        <w:t>e.g.</w:t>
      </w:r>
      <w:r w:rsidRPr="00FF7074">
        <w:rPr>
          <w:rFonts w:eastAsia="Verdana" w:cs="Verdana"/>
          <w:lang w:val="pt-PT" w:eastAsia="pt-PT"/>
        </w:rPr>
        <w:t xml:space="preserve"> por patente). </w:t>
      </w:r>
    </w:p>
    <w:p w14:paraId="3E59BA70" w14:textId="6FBD5C15" w:rsidR="00BB0661" w:rsidRPr="00FF7074" w:rsidRDefault="00BB0661" w:rsidP="00C67662">
      <w:pPr>
        <w:pStyle w:val="PargrafodaLista"/>
        <w:tabs>
          <w:tab w:val="left" w:pos="709"/>
        </w:tabs>
        <w:ind w:left="0" w:firstLine="0"/>
        <w:rPr>
          <w:rFonts w:eastAsia="Verdana" w:cs="Verdana"/>
          <w:lang w:val="pt-PT" w:eastAsia="pt-PT"/>
        </w:rPr>
      </w:pPr>
      <w:r w:rsidRPr="00FF7074">
        <w:rPr>
          <w:rFonts w:eastAsia="Verdana" w:cs="Verdana"/>
          <w:lang w:val="pt-PT" w:eastAsia="pt-PT"/>
        </w:rPr>
        <w:t>Em seguida, o CTTEC, com apoio de colaboradores internos e especialistas externos, conduz uma rigorosa avaliação de viabilidade mercadológica para elaborar uma estratégia comercial. Quando, ao final deste exercício, o grupo de pesquisa decide criar uma empresa para explorar a criação, o CTTEC avalia as necessidades de recursos e tarefas administrativas, ajuda a identificar necessidade de recursos para prototipagem e execução de prova de conceito, fornece aconselhamento sobre requisitos regulatórios e auxilia no desenvolvimento do plano de negócios (CARNEGIE MELLON UNIVERSITY, [</w:t>
      </w:r>
      <w:proofErr w:type="spellStart"/>
      <w:r w:rsidRPr="00FF7074">
        <w:rPr>
          <w:rFonts w:eastAsia="Verdana" w:cs="Verdana"/>
          <w:lang w:val="pt-PT" w:eastAsia="pt-PT"/>
        </w:rPr>
        <w:t>s.d</w:t>
      </w:r>
      <w:proofErr w:type="spellEnd"/>
      <w:r w:rsidRPr="00FF7074">
        <w:rPr>
          <w:rFonts w:eastAsia="Verdana" w:cs="Verdana"/>
          <w:lang w:val="pt-PT" w:eastAsia="pt-PT"/>
        </w:rPr>
        <w:t>.]).</w:t>
      </w:r>
    </w:p>
    <w:p w14:paraId="539737E5" w14:textId="77777777" w:rsidR="00BB0661" w:rsidRPr="00FF7074" w:rsidRDefault="00BB0661" w:rsidP="00C67662">
      <w:pPr>
        <w:pStyle w:val="PargrafodaLista"/>
        <w:ind w:left="0" w:firstLine="0"/>
        <w:rPr>
          <w:rFonts w:eastAsia="Verdana" w:cs="Verdana"/>
          <w:lang w:val="pt-PT" w:eastAsia="pt-PT"/>
        </w:rPr>
      </w:pPr>
      <w:r w:rsidRPr="00FF7074">
        <w:rPr>
          <w:rFonts w:eastAsiaTheme="majorEastAsia" w:cs="Calibri"/>
          <w:lang w:val="pt-PT" w:eastAsia="pt-PT"/>
        </w:rPr>
        <w:tab/>
      </w:r>
      <w:r w:rsidRPr="00FF7074">
        <w:rPr>
          <w:rFonts w:eastAsia="Verdana" w:cs="Verdana"/>
          <w:lang w:val="pt-PT" w:eastAsia="pt-PT"/>
        </w:rPr>
        <w:t xml:space="preserve">Nos últimos 5 anos, mais de 350 licenças, opções e outros acordos foram firmados e 50 spin-outs foram estabelecidas com sucesso. A CMU tem uma forte incidência na robótica, na inteligência artificial (IA) e nas ciências informáticas, o que levou à criação de empresas de sucesso como a divisão de carros autónomos da Uber (anteriormente conhecida como Uber Advanced Technologies </w:t>
      </w:r>
      <w:proofErr w:type="spellStart"/>
      <w:r w:rsidRPr="00FF7074">
        <w:rPr>
          <w:rFonts w:eastAsia="Verdana" w:cs="Verdana"/>
          <w:lang w:val="pt-PT" w:eastAsia="pt-PT"/>
        </w:rPr>
        <w:t>Group</w:t>
      </w:r>
      <w:proofErr w:type="spellEnd"/>
      <w:r w:rsidRPr="00FF7074">
        <w:rPr>
          <w:rFonts w:eastAsia="Verdana" w:cs="Verdana"/>
          <w:lang w:val="pt-PT" w:eastAsia="pt-PT"/>
        </w:rPr>
        <w:t xml:space="preserve">) e o </w:t>
      </w:r>
      <w:proofErr w:type="spellStart"/>
      <w:r w:rsidRPr="00FF7074">
        <w:rPr>
          <w:rFonts w:eastAsia="Verdana" w:cs="Verdana"/>
          <w:lang w:val="pt-PT" w:eastAsia="pt-PT"/>
        </w:rPr>
        <w:t>Duolingo</w:t>
      </w:r>
      <w:proofErr w:type="spellEnd"/>
      <w:r w:rsidRPr="00FF7074">
        <w:rPr>
          <w:rFonts w:eastAsia="Verdana" w:cs="Verdana"/>
          <w:lang w:val="pt-PT" w:eastAsia="pt-PT"/>
        </w:rPr>
        <w:t>, uma popular plataforma de aprendizagem de línguas (CARNEGIE MELLON UNIVERSITY, [</w:t>
      </w:r>
      <w:proofErr w:type="spellStart"/>
      <w:r w:rsidRPr="00FF7074">
        <w:rPr>
          <w:rFonts w:eastAsia="Verdana" w:cs="Verdana"/>
          <w:lang w:val="pt-PT" w:eastAsia="pt-PT"/>
        </w:rPr>
        <w:t>s.d</w:t>
      </w:r>
      <w:proofErr w:type="spellEnd"/>
      <w:r w:rsidRPr="00FF7074">
        <w:rPr>
          <w:rFonts w:eastAsia="Verdana" w:cs="Verdana"/>
          <w:lang w:val="pt-PT" w:eastAsia="pt-PT"/>
        </w:rPr>
        <w:t>.]).</w:t>
      </w:r>
    </w:p>
    <w:p w14:paraId="694C4022" w14:textId="3264AEAB" w:rsidR="00957F42" w:rsidRPr="00FF7074" w:rsidRDefault="00957F42" w:rsidP="003453B8">
      <w:pPr>
        <w:pStyle w:val="Ttulo2"/>
      </w:pPr>
      <w:bookmarkStart w:id="46" w:name="_Toc138420941"/>
      <w:r w:rsidRPr="00FF7074">
        <w:t xml:space="preserve">Universidade </w:t>
      </w:r>
      <w:r w:rsidR="0020159D" w:rsidRPr="00FF7074">
        <w:t>do Texas</w:t>
      </w:r>
      <w:bookmarkEnd w:id="46"/>
      <w:r w:rsidRPr="00FF7074">
        <w:t xml:space="preserve"> </w:t>
      </w:r>
    </w:p>
    <w:p w14:paraId="42E7E3FA" w14:textId="77777777" w:rsidR="008E407F" w:rsidRPr="00FF7074" w:rsidRDefault="008E407F" w:rsidP="00C67662">
      <w:pPr>
        <w:ind w:firstLine="0"/>
        <w:rPr>
          <w:rFonts w:eastAsia="Verdana" w:cs="Verdana"/>
          <w:lang w:val="pt-PT" w:eastAsia="pt-PT"/>
        </w:rPr>
      </w:pPr>
      <w:r w:rsidRPr="00FF7074">
        <w:rPr>
          <w:rFonts w:eastAsia="Verdana" w:cs="Verdana"/>
          <w:lang w:val="pt-PT" w:eastAsia="pt-PT"/>
        </w:rPr>
        <w:t>O Sistema de Universidades do Texas, referido apenas por Universidade do Texas, compreende 8 instituições acadêmicas de ensino superior e 5 entidades de pesquisa e prestação de serviços de saúde. Cada um dos braços acadêmicos conta com um gabinete de independente para gestão e comercialização de conhecimento. Porém, todos atendem a um regramento comum, construído para ser adaptável às circunstâncias altamente variadas que caracterizam o setor privado e o portfólio de pesquisa nas instituições do Sistema U. T. (T</w:t>
      </w:r>
      <w:r w:rsidRPr="00FF7074">
        <w:rPr>
          <w:rFonts w:eastAsia="Verdana" w:cs="Verdana"/>
          <w:caps/>
          <w:lang w:val="pt-PT" w:eastAsia="pt-PT"/>
        </w:rPr>
        <w:t>he Universisty of Texas System</w:t>
      </w:r>
      <w:r w:rsidRPr="00FF7074">
        <w:rPr>
          <w:rFonts w:eastAsia="Verdana" w:cs="Verdana"/>
          <w:lang w:val="pt-PT" w:eastAsia="pt-PT"/>
        </w:rPr>
        <w:t>, [</w:t>
      </w:r>
      <w:proofErr w:type="spellStart"/>
      <w:r w:rsidRPr="00FF7074">
        <w:rPr>
          <w:rFonts w:eastAsia="Verdana" w:cs="Verdana"/>
          <w:lang w:val="pt-PT" w:eastAsia="pt-PT"/>
        </w:rPr>
        <w:t>s.d</w:t>
      </w:r>
      <w:proofErr w:type="spellEnd"/>
      <w:r w:rsidRPr="00FF7074">
        <w:rPr>
          <w:rFonts w:eastAsia="Verdana" w:cs="Verdana"/>
          <w:lang w:val="pt-PT" w:eastAsia="pt-PT"/>
        </w:rPr>
        <w:t xml:space="preserve">.]). </w:t>
      </w:r>
    </w:p>
    <w:p w14:paraId="5521C629" w14:textId="77777777" w:rsidR="008E407F" w:rsidRPr="00FF7074" w:rsidRDefault="008E407F" w:rsidP="00C67662">
      <w:pPr>
        <w:ind w:firstLine="0"/>
        <w:rPr>
          <w:rFonts w:eastAsia="Verdana" w:cs="Verdana"/>
          <w:lang w:val="pt-PT" w:eastAsia="pt-PT"/>
        </w:rPr>
      </w:pPr>
      <w:r w:rsidRPr="00FF7074">
        <w:rPr>
          <w:rFonts w:eastAsia="Verdana" w:cs="Verdana"/>
          <w:lang w:val="pt-PT" w:eastAsia="pt-PT"/>
        </w:rPr>
        <w:t>Os princípios fundamentais que regem a relação da Universidade do Texas com seus ativos de propriedade intelectual destacam o papel da transferência de tecnologia para o cumprimento da missão da Universidade e colocam as empresas no cerne da estratégia de transformação de conhecimento acadêmico em bem-estar ao alcance do público amplo (T</w:t>
      </w:r>
      <w:r w:rsidRPr="00FF7074">
        <w:rPr>
          <w:rFonts w:eastAsia="Verdana" w:cs="Verdana"/>
          <w:caps/>
          <w:lang w:val="pt-PT" w:eastAsia="pt-PT"/>
        </w:rPr>
        <w:t>he Universisty of Texas System</w:t>
      </w:r>
      <w:r w:rsidRPr="00FF7074">
        <w:rPr>
          <w:rFonts w:eastAsia="Verdana" w:cs="Verdana"/>
          <w:lang w:val="pt-PT" w:eastAsia="pt-PT"/>
        </w:rPr>
        <w:t>, 2015).</w:t>
      </w:r>
    </w:p>
    <w:p w14:paraId="0BBBF2A8" w14:textId="77777777" w:rsidR="008E407F" w:rsidRPr="00FF7074" w:rsidRDefault="008E407F" w:rsidP="00C67662">
      <w:pPr>
        <w:ind w:firstLine="0"/>
        <w:rPr>
          <w:rFonts w:eastAsia="Verdana" w:cs="Verdana"/>
          <w:lang w:val="pt-PT" w:eastAsia="pt-PT"/>
        </w:rPr>
      </w:pPr>
      <w:r w:rsidRPr="00FF7074">
        <w:rPr>
          <w:rFonts w:eastAsia="Verdana" w:cs="Verdana"/>
          <w:lang w:val="pt-PT" w:eastAsia="pt-PT"/>
        </w:rPr>
        <w:t>O sistema da Universidade do Texas implementou várias iniciativas para promover a transferência de tecnologia e o espírito empresarial (T</w:t>
      </w:r>
      <w:r w:rsidRPr="00FF7074">
        <w:rPr>
          <w:rFonts w:eastAsia="Verdana" w:cs="Verdana"/>
          <w:caps/>
          <w:lang w:val="pt-PT" w:eastAsia="pt-PT"/>
        </w:rPr>
        <w:t>he Universisty of Texas System</w:t>
      </w:r>
      <w:r w:rsidRPr="00FF7074">
        <w:rPr>
          <w:rFonts w:eastAsia="Verdana" w:cs="Verdana"/>
          <w:lang w:val="pt-PT" w:eastAsia="pt-PT"/>
        </w:rPr>
        <w:t xml:space="preserve">, </w:t>
      </w:r>
      <w:r w:rsidRPr="00FF7074">
        <w:rPr>
          <w:rFonts w:eastAsia="Verdana" w:cs="Verdana"/>
          <w:lang w:val="pt-PT" w:eastAsia="pt-PT"/>
        </w:rPr>
        <w:lastRenderedPageBreak/>
        <w:t>[</w:t>
      </w:r>
      <w:proofErr w:type="spellStart"/>
      <w:r w:rsidRPr="00FF7074">
        <w:rPr>
          <w:rFonts w:eastAsia="Verdana" w:cs="Verdana"/>
          <w:lang w:val="pt-PT" w:eastAsia="pt-PT"/>
        </w:rPr>
        <w:t>s.d</w:t>
      </w:r>
      <w:proofErr w:type="spellEnd"/>
      <w:r w:rsidRPr="00FF7074">
        <w:rPr>
          <w:rFonts w:eastAsia="Verdana" w:cs="Verdana"/>
          <w:lang w:val="pt-PT" w:eastAsia="pt-PT"/>
        </w:rPr>
        <w:t>.]). Inventores e empreendedores do sistema contam com um ecossistema de suporte à inovação e ao empreendedorismo que inclui:</w:t>
      </w:r>
    </w:p>
    <w:p w14:paraId="4458CFC1" w14:textId="6F5CBCF6" w:rsidR="008E407F" w:rsidRPr="00FF7074" w:rsidRDefault="008E407F" w:rsidP="00BB43B5">
      <w:pPr>
        <w:pStyle w:val="PargrafodaLista"/>
        <w:numPr>
          <w:ilvl w:val="0"/>
          <w:numId w:val="25"/>
        </w:numPr>
        <w:rPr>
          <w:rFonts w:eastAsia="Verdana" w:cs="Verdana"/>
          <w:lang w:val="pt-PT" w:eastAsia="pt-PT"/>
        </w:rPr>
      </w:pPr>
      <w:r w:rsidRPr="00FF7074">
        <w:rPr>
          <w:rFonts w:eastAsia="Verdana" w:cs="Verdana"/>
          <w:i/>
          <w:lang w:val="pt-PT" w:eastAsia="pt-PT"/>
        </w:rPr>
        <w:t xml:space="preserve">Office of </w:t>
      </w:r>
      <w:proofErr w:type="spellStart"/>
      <w:r w:rsidRPr="00FF7074">
        <w:rPr>
          <w:rFonts w:eastAsia="Verdana" w:cs="Verdana"/>
          <w:i/>
          <w:lang w:val="pt-PT" w:eastAsia="pt-PT"/>
        </w:rPr>
        <w:t>Industry</w:t>
      </w:r>
      <w:proofErr w:type="spellEnd"/>
      <w:r w:rsidRPr="00FF7074">
        <w:rPr>
          <w:rFonts w:eastAsia="Verdana" w:cs="Verdana"/>
          <w:i/>
          <w:lang w:val="pt-PT" w:eastAsia="pt-PT"/>
        </w:rPr>
        <w:t xml:space="preserve"> </w:t>
      </w:r>
      <w:proofErr w:type="spellStart"/>
      <w:r w:rsidRPr="00FF7074">
        <w:rPr>
          <w:rFonts w:eastAsia="Verdana" w:cs="Verdana"/>
          <w:i/>
          <w:lang w:val="pt-PT" w:eastAsia="pt-PT"/>
        </w:rPr>
        <w:t>Engagement</w:t>
      </w:r>
      <w:proofErr w:type="spellEnd"/>
      <w:r w:rsidRPr="00FF7074">
        <w:rPr>
          <w:rFonts w:eastAsia="Verdana" w:cs="Verdana"/>
          <w:lang w:val="pt-PT" w:eastAsia="pt-PT"/>
        </w:rPr>
        <w:t>: encarregado de negociar todos os contratos de pesquisa patrocinados exclusivamente pela indústria;</w:t>
      </w:r>
    </w:p>
    <w:p w14:paraId="1E26E5D9" w14:textId="08F80DD9" w:rsidR="008E407F" w:rsidRPr="00FF7074" w:rsidRDefault="008E407F" w:rsidP="00BB43B5">
      <w:pPr>
        <w:pStyle w:val="PargrafodaLista"/>
        <w:numPr>
          <w:ilvl w:val="0"/>
          <w:numId w:val="25"/>
        </w:numPr>
        <w:rPr>
          <w:rFonts w:eastAsia="Verdana" w:cs="Verdana"/>
          <w:lang w:val="pt-PT" w:eastAsia="pt-PT"/>
        </w:rPr>
      </w:pPr>
      <w:r w:rsidRPr="00FF7074">
        <w:rPr>
          <w:rFonts w:eastAsia="Verdana" w:cs="Verdana"/>
          <w:i/>
          <w:lang w:val="pt-PT" w:eastAsia="pt-PT"/>
        </w:rPr>
        <w:t xml:space="preserve">Office of </w:t>
      </w:r>
      <w:proofErr w:type="spellStart"/>
      <w:r w:rsidRPr="00FF7074">
        <w:rPr>
          <w:rFonts w:eastAsia="Verdana" w:cs="Verdana"/>
          <w:i/>
          <w:lang w:val="pt-PT" w:eastAsia="pt-PT"/>
        </w:rPr>
        <w:t>Sponsored</w:t>
      </w:r>
      <w:proofErr w:type="spellEnd"/>
      <w:r w:rsidRPr="00FF7074">
        <w:rPr>
          <w:rFonts w:eastAsia="Verdana" w:cs="Verdana"/>
          <w:i/>
          <w:lang w:val="pt-PT" w:eastAsia="pt-PT"/>
        </w:rPr>
        <w:t xml:space="preserve"> </w:t>
      </w:r>
      <w:proofErr w:type="spellStart"/>
      <w:r w:rsidRPr="00FF7074">
        <w:rPr>
          <w:rFonts w:eastAsia="Verdana" w:cs="Verdana"/>
          <w:i/>
          <w:lang w:val="pt-PT" w:eastAsia="pt-PT"/>
        </w:rPr>
        <w:t>Projects</w:t>
      </w:r>
      <w:proofErr w:type="spellEnd"/>
      <w:r w:rsidRPr="00FF7074">
        <w:rPr>
          <w:rFonts w:eastAsia="Verdana" w:cs="Verdana"/>
          <w:lang w:val="pt-PT" w:eastAsia="pt-PT"/>
        </w:rPr>
        <w:t xml:space="preserve">: Apoia professores e pesquisadores em seus esforços para assegurar e garantir a boa administração dos financiamentos externos. </w:t>
      </w:r>
    </w:p>
    <w:p w14:paraId="554C7B4A" w14:textId="109B9097" w:rsidR="008E407F" w:rsidRPr="00FF7074" w:rsidRDefault="008E407F" w:rsidP="00BB43B5">
      <w:pPr>
        <w:pStyle w:val="PargrafodaLista"/>
        <w:numPr>
          <w:ilvl w:val="0"/>
          <w:numId w:val="25"/>
        </w:numPr>
        <w:rPr>
          <w:rFonts w:eastAsia="Verdana" w:cs="Verdana"/>
          <w:lang w:val="pt-PT" w:eastAsia="pt-PT"/>
        </w:rPr>
      </w:pPr>
      <w:proofErr w:type="spellStart"/>
      <w:r w:rsidRPr="00FF7074">
        <w:rPr>
          <w:rFonts w:eastAsia="Verdana" w:cs="Verdana"/>
          <w:i/>
          <w:lang w:val="pt-PT" w:eastAsia="pt-PT"/>
        </w:rPr>
        <w:t>Innovation</w:t>
      </w:r>
      <w:proofErr w:type="spellEnd"/>
      <w:r w:rsidRPr="00FF7074">
        <w:rPr>
          <w:rFonts w:eastAsia="Verdana" w:cs="Verdana"/>
          <w:i/>
          <w:lang w:val="pt-PT" w:eastAsia="pt-PT"/>
        </w:rPr>
        <w:t xml:space="preserve"> </w:t>
      </w:r>
      <w:proofErr w:type="spellStart"/>
      <w:r w:rsidRPr="00FF7074">
        <w:rPr>
          <w:rFonts w:eastAsia="Verdana" w:cs="Verdana"/>
          <w:i/>
          <w:lang w:val="pt-PT" w:eastAsia="pt-PT"/>
        </w:rPr>
        <w:t>Center</w:t>
      </w:r>
      <w:proofErr w:type="spellEnd"/>
      <w:r w:rsidRPr="00FF7074">
        <w:rPr>
          <w:rFonts w:eastAsia="Verdana" w:cs="Verdana"/>
          <w:lang w:val="pt-PT" w:eastAsia="pt-PT"/>
        </w:rPr>
        <w:t xml:space="preserve">: Ajuda a criar e fomentar uma cultura de empreendedorismo em apoio à comercialização de tecnologias. Fornece espaço de </w:t>
      </w:r>
      <w:proofErr w:type="spellStart"/>
      <w:r w:rsidRPr="00FF7074">
        <w:rPr>
          <w:rFonts w:eastAsia="Verdana" w:cs="Verdana"/>
          <w:lang w:val="pt-PT" w:eastAsia="pt-PT"/>
        </w:rPr>
        <w:t>coworking</w:t>
      </w:r>
      <w:proofErr w:type="spellEnd"/>
      <w:r w:rsidRPr="00FF7074">
        <w:rPr>
          <w:rFonts w:eastAsia="Verdana" w:cs="Verdana"/>
          <w:lang w:val="pt-PT" w:eastAsia="pt-PT"/>
        </w:rPr>
        <w:t>; espaço de laboratório molhado; workshops e treinamento de suporte de marketing; conexões com incubadoras, aceleradoras, mentorias e investidores.</w:t>
      </w:r>
    </w:p>
    <w:p w14:paraId="7222AE55" w14:textId="08EF41A6" w:rsidR="008E407F" w:rsidRPr="00FF7074" w:rsidRDefault="008E407F" w:rsidP="00BB43B5">
      <w:pPr>
        <w:pStyle w:val="PargrafodaLista"/>
        <w:numPr>
          <w:ilvl w:val="0"/>
          <w:numId w:val="25"/>
        </w:numPr>
        <w:rPr>
          <w:rFonts w:eastAsia="Verdana" w:cs="Verdana"/>
          <w:lang w:val="pt-PT" w:eastAsia="pt-PT"/>
        </w:rPr>
      </w:pPr>
      <w:proofErr w:type="spellStart"/>
      <w:r w:rsidRPr="00FF7074">
        <w:rPr>
          <w:rFonts w:eastAsia="Verdana" w:cs="Verdana"/>
          <w:i/>
          <w:lang w:val="pt-PT" w:eastAsia="pt-PT"/>
        </w:rPr>
        <w:t>Incubator</w:t>
      </w:r>
      <w:proofErr w:type="spellEnd"/>
      <w:r w:rsidRPr="00FF7074">
        <w:rPr>
          <w:rFonts w:eastAsia="Verdana" w:cs="Verdana"/>
          <w:lang w:val="pt-PT" w:eastAsia="pt-PT"/>
        </w:rPr>
        <w:t>: apoia empreendedores universitários na comercialização eficiente de inovações nos mercados local e global.</w:t>
      </w:r>
    </w:p>
    <w:p w14:paraId="3786D4A9" w14:textId="41C5CBCE" w:rsidR="008E407F" w:rsidRPr="00FF7074" w:rsidRDefault="008E407F" w:rsidP="00C67662">
      <w:pPr>
        <w:pStyle w:val="PargrafodaLista"/>
        <w:ind w:left="0" w:firstLine="0"/>
        <w:rPr>
          <w:rFonts w:eastAsia="Verdana" w:cs="Verdana"/>
          <w:lang w:val="pt-PT" w:eastAsia="pt-PT"/>
        </w:rPr>
      </w:pPr>
      <w:r w:rsidRPr="00FF7074">
        <w:rPr>
          <w:rFonts w:eastAsiaTheme="majorEastAsia" w:cs="Calibri"/>
          <w:lang w:val="pt-PT" w:eastAsia="pt-PT"/>
        </w:rPr>
        <w:tab/>
      </w:r>
      <w:r w:rsidRPr="00FF7074">
        <w:rPr>
          <w:rFonts w:eastAsia="Verdana" w:cs="Verdana"/>
          <w:lang w:val="pt-PT" w:eastAsia="pt-PT"/>
        </w:rPr>
        <w:t xml:space="preserve">Adicionalmente à estrutura de apoio, </w:t>
      </w:r>
      <w:r w:rsidR="00C67662" w:rsidRPr="00FF7074">
        <w:rPr>
          <w:rFonts w:eastAsia="Verdana" w:cs="Verdana"/>
          <w:lang w:val="pt-PT" w:eastAsia="pt-PT"/>
        </w:rPr>
        <w:t>o s</w:t>
      </w:r>
      <w:r w:rsidRPr="00FF7074">
        <w:rPr>
          <w:rFonts w:eastAsia="Verdana" w:cs="Verdana"/>
          <w:lang w:val="pt-PT" w:eastAsia="pt-PT"/>
        </w:rPr>
        <w:t xml:space="preserve">istema da Universidade do Texas conta com o </w:t>
      </w:r>
      <w:r w:rsidRPr="00FF7074">
        <w:rPr>
          <w:rFonts w:eastAsia="Verdana" w:cs="Verdana"/>
          <w:i/>
          <w:lang w:val="pt-PT" w:eastAsia="pt-PT"/>
        </w:rPr>
        <w:t xml:space="preserve">UT </w:t>
      </w:r>
      <w:proofErr w:type="spellStart"/>
      <w:r w:rsidRPr="00FF7074">
        <w:rPr>
          <w:rFonts w:eastAsia="Verdana" w:cs="Verdana"/>
          <w:i/>
          <w:lang w:val="pt-PT" w:eastAsia="pt-PT"/>
        </w:rPr>
        <w:t>Horizon</w:t>
      </w:r>
      <w:proofErr w:type="spellEnd"/>
      <w:r w:rsidRPr="00FF7074">
        <w:rPr>
          <w:rFonts w:eastAsia="Verdana" w:cs="Verdana"/>
          <w:i/>
          <w:lang w:val="pt-PT" w:eastAsia="pt-PT"/>
        </w:rPr>
        <w:t xml:space="preserve"> </w:t>
      </w:r>
      <w:proofErr w:type="spellStart"/>
      <w:r w:rsidRPr="00FF7074">
        <w:rPr>
          <w:rFonts w:eastAsia="Verdana" w:cs="Verdana"/>
          <w:i/>
          <w:lang w:val="pt-PT" w:eastAsia="pt-PT"/>
        </w:rPr>
        <w:t>Fund</w:t>
      </w:r>
      <w:proofErr w:type="spellEnd"/>
      <w:r w:rsidRPr="00FF7074">
        <w:rPr>
          <w:rFonts w:eastAsia="Verdana" w:cs="Verdana"/>
          <w:lang w:val="pt-PT" w:eastAsia="pt-PT"/>
        </w:rPr>
        <w:t xml:space="preserve">, um fundo de investimento estratégico que suporta a comercialização de tecnologias desenvolvidas nas instituições da UT. O fundo foi criado em 2011 para ajudar as empresas relacionadas ao Sistema a criar riqueza social e financeira. O UT </w:t>
      </w:r>
      <w:proofErr w:type="spellStart"/>
      <w:r w:rsidRPr="00FF7074">
        <w:rPr>
          <w:rFonts w:eastAsia="Verdana" w:cs="Verdana"/>
          <w:lang w:val="pt-PT" w:eastAsia="pt-PT"/>
        </w:rPr>
        <w:t>Horizon</w:t>
      </w:r>
      <w:proofErr w:type="spellEnd"/>
      <w:r w:rsidRPr="00FF7074">
        <w:rPr>
          <w:rFonts w:eastAsia="Verdana" w:cs="Verdana"/>
          <w:lang w:val="pt-PT" w:eastAsia="pt-PT"/>
        </w:rPr>
        <w:t xml:space="preserve"> </w:t>
      </w:r>
      <w:proofErr w:type="spellStart"/>
      <w:r w:rsidRPr="00FF7074">
        <w:rPr>
          <w:rFonts w:eastAsia="Verdana" w:cs="Verdana"/>
          <w:lang w:val="pt-PT" w:eastAsia="pt-PT"/>
        </w:rPr>
        <w:t>Fund</w:t>
      </w:r>
      <w:proofErr w:type="spellEnd"/>
      <w:r w:rsidRPr="00FF7074">
        <w:rPr>
          <w:rFonts w:eastAsia="Verdana" w:cs="Verdana"/>
          <w:lang w:val="pt-PT" w:eastAsia="pt-PT"/>
        </w:rPr>
        <w:t xml:space="preserve"> já comprometeu US$ 50 milhões até o momento, figurando entre um dos principais veículos de investimento estratégico patrocinado por universidades nos Estados Unidos (T</w:t>
      </w:r>
      <w:r w:rsidRPr="00FF7074">
        <w:rPr>
          <w:rFonts w:eastAsia="Verdana" w:cs="Verdana"/>
          <w:caps/>
          <w:lang w:val="pt-PT" w:eastAsia="pt-PT"/>
        </w:rPr>
        <w:t>he Universisty of Texas System</w:t>
      </w:r>
      <w:r w:rsidRPr="00FF7074">
        <w:rPr>
          <w:rFonts w:eastAsia="Verdana" w:cs="Verdana"/>
          <w:lang w:val="pt-PT" w:eastAsia="pt-PT"/>
        </w:rPr>
        <w:t>, [</w:t>
      </w:r>
      <w:proofErr w:type="spellStart"/>
      <w:r w:rsidRPr="00FF7074">
        <w:rPr>
          <w:rFonts w:eastAsia="Verdana" w:cs="Verdana"/>
          <w:lang w:val="pt-PT" w:eastAsia="pt-PT"/>
        </w:rPr>
        <w:t>s.d</w:t>
      </w:r>
      <w:proofErr w:type="spellEnd"/>
      <w:r w:rsidRPr="00FF7074">
        <w:rPr>
          <w:rFonts w:eastAsia="Verdana" w:cs="Verdana"/>
          <w:lang w:val="pt-PT" w:eastAsia="pt-PT"/>
        </w:rPr>
        <w:t>.]).</w:t>
      </w:r>
    </w:p>
    <w:p w14:paraId="6499F600" w14:textId="77777777" w:rsidR="0005222F" w:rsidRPr="00FF7074" w:rsidRDefault="0005222F" w:rsidP="00C67662">
      <w:pPr>
        <w:pStyle w:val="PargrafodaLista"/>
        <w:ind w:left="0" w:firstLine="0"/>
        <w:rPr>
          <w:rFonts w:eastAsiaTheme="majorEastAsia" w:cs="Calibri"/>
          <w:lang w:val="pt-PT" w:eastAsia="pt-PT"/>
        </w:rPr>
      </w:pPr>
    </w:p>
    <w:p w14:paraId="7241D99F" w14:textId="720A8B27" w:rsidR="008E407F" w:rsidRPr="00FF7074" w:rsidRDefault="008E407F" w:rsidP="00C67662">
      <w:pPr>
        <w:pStyle w:val="PargrafodaLista"/>
        <w:ind w:left="0" w:firstLine="0"/>
        <w:rPr>
          <w:rFonts w:eastAsia="Verdana" w:cs="Verdana"/>
          <w:lang w:val="pt-PT" w:eastAsia="pt-PT"/>
        </w:rPr>
      </w:pPr>
      <w:r w:rsidRPr="00FF7074">
        <w:rPr>
          <w:rFonts w:eastAsiaTheme="majorEastAsia" w:cs="Calibri"/>
          <w:lang w:val="pt-PT" w:eastAsia="pt-PT"/>
        </w:rPr>
        <w:tab/>
      </w:r>
      <w:r w:rsidRPr="00FF7074">
        <w:rPr>
          <w:rFonts w:eastAsia="Verdana" w:cs="Verdana"/>
          <w:lang w:val="pt-PT" w:eastAsia="pt-PT"/>
        </w:rPr>
        <w:t xml:space="preserve">Em suma, as IES estadunidenses tomadas por referência apresentam um processo claro de monitoramento, </w:t>
      </w:r>
      <w:r w:rsidR="008F46AE" w:rsidRPr="00FF7074">
        <w:rPr>
          <w:rFonts w:eastAsia="Verdana" w:cs="Verdana"/>
          <w:lang w:val="pt-PT" w:eastAsia="pt-PT"/>
        </w:rPr>
        <w:t>receção</w:t>
      </w:r>
      <w:r w:rsidRPr="00FF7074">
        <w:rPr>
          <w:rFonts w:eastAsia="Verdana" w:cs="Verdana"/>
          <w:lang w:val="pt-PT" w:eastAsia="pt-PT"/>
        </w:rPr>
        <w:t xml:space="preserve"> e análise das criações intelectuais derivadas das atividades de pesquisa que patrocinam. Nos três casos aqui descritos, há um explícito foco em levar o conhecimento produzido academicamente à sociedade ampla, tendo a iniciativa privada como principal veículo desta trajetória. Os principais elementos oferecidos por cada uma das IES supracitadas para suporte, estímulo e financiamento à inventividade e ao empreendedorismo estão sumarizados na Tabela 1.</w:t>
      </w:r>
    </w:p>
    <w:p w14:paraId="63469A93" w14:textId="77777777" w:rsidR="008E407F" w:rsidRPr="00FF7074" w:rsidRDefault="008E407F" w:rsidP="008E407F">
      <w:pPr>
        <w:spacing w:before="240" w:after="0"/>
        <w:rPr>
          <w:rFonts w:eastAsia="Verdana" w:cs="Verdana"/>
          <w:lang w:val="pt-PT" w:eastAsia="pt-PT"/>
        </w:rPr>
      </w:pPr>
    </w:p>
    <w:p w14:paraId="0CF4D216" w14:textId="77777777" w:rsidR="0005222F" w:rsidRPr="00FF7074" w:rsidRDefault="0005222F" w:rsidP="008E407F">
      <w:pPr>
        <w:spacing w:before="240" w:after="0"/>
        <w:rPr>
          <w:rFonts w:eastAsia="Verdana" w:cs="Verdana"/>
          <w:lang w:val="pt-PT" w:eastAsia="pt-PT"/>
        </w:rPr>
      </w:pPr>
    </w:p>
    <w:p w14:paraId="685925C8" w14:textId="77777777" w:rsidR="0005222F" w:rsidRPr="00FF7074" w:rsidRDefault="0005222F" w:rsidP="008E407F">
      <w:pPr>
        <w:spacing w:before="240" w:after="0"/>
        <w:rPr>
          <w:rFonts w:eastAsia="Verdana" w:cs="Verdana"/>
          <w:lang w:val="pt-PT" w:eastAsia="pt-PT"/>
        </w:rPr>
      </w:pPr>
    </w:p>
    <w:p w14:paraId="26A4F64F" w14:textId="05E3A14F" w:rsidR="008E407F" w:rsidRPr="00FF7074" w:rsidRDefault="008E407F" w:rsidP="009C5893">
      <w:pPr>
        <w:pStyle w:val="Legenda"/>
        <w:keepNext/>
        <w:spacing w:after="0"/>
        <w:jc w:val="center"/>
        <w:rPr>
          <w:rFonts w:eastAsia="Verdana" w:cs="Verdana"/>
          <w:b w:val="0"/>
          <w:bCs w:val="0"/>
          <w:i/>
          <w:iCs/>
          <w:color w:val="4B4F54" w:themeColor="text1"/>
          <w:sz w:val="18"/>
          <w:szCs w:val="18"/>
          <w:lang w:val="pt-PT"/>
        </w:rPr>
      </w:pPr>
      <w:r w:rsidRPr="00FF7074">
        <w:rPr>
          <w:rFonts w:eastAsia="Verdana" w:cs="Verdana"/>
          <w:b w:val="0"/>
          <w:bCs w:val="0"/>
          <w:i/>
          <w:iCs/>
          <w:color w:val="4B4F54" w:themeColor="text1"/>
          <w:sz w:val="18"/>
          <w:szCs w:val="18"/>
          <w:lang w:val="pt-PT"/>
        </w:rPr>
        <w:lastRenderedPageBreak/>
        <w:t xml:space="preserve">Tabela </w:t>
      </w:r>
      <w:r w:rsidRPr="00FF7074">
        <w:rPr>
          <w:b w:val="0"/>
          <w:bCs w:val="0"/>
          <w:i/>
          <w:iCs/>
          <w:color w:val="4B4F54" w:themeColor="text1"/>
          <w:sz w:val="18"/>
          <w:szCs w:val="18"/>
          <w:lang w:val="pt-PT"/>
        </w:rPr>
        <w:fldChar w:fldCharType="begin"/>
      </w:r>
      <w:r w:rsidRPr="00FF7074">
        <w:rPr>
          <w:b w:val="0"/>
          <w:bCs w:val="0"/>
          <w:i/>
          <w:iCs/>
          <w:color w:val="4B4F54" w:themeColor="text1"/>
          <w:sz w:val="18"/>
          <w:szCs w:val="18"/>
          <w:lang w:val="pt-PT"/>
        </w:rPr>
        <w:instrText xml:space="preserve"> SEQ Tabela \* ARABIC </w:instrText>
      </w:r>
      <w:r w:rsidRPr="00FF7074">
        <w:rPr>
          <w:b w:val="0"/>
          <w:bCs w:val="0"/>
          <w:i/>
          <w:iCs/>
          <w:color w:val="4B4F54" w:themeColor="text1"/>
          <w:sz w:val="18"/>
          <w:szCs w:val="18"/>
          <w:lang w:val="pt-PT"/>
        </w:rPr>
        <w:fldChar w:fldCharType="separate"/>
      </w:r>
      <w:r w:rsidR="008617AF">
        <w:rPr>
          <w:b w:val="0"/>
          <w:bCs w:val="0"/>
          <w:i/>
          <w:iCs/>
          <w:noProof/>
          <w:color w:val="4B4F54" w:themeColor="text1"/>
          <w:sz w:val="18"/>
          <w:szCs w:val="18"/>
          <w:lang w:val="pt-PT"/>
        </w:rPr>
        <w:t>1</w:t>
      </w:r>
      <w:r w:rsidRPr="00FF7074">
        <w:rPr>
          <w:b w:val="0"/>
          <w:bCs w:val="0"/>
          <w:i/>
          <w:iCs/>
          <w:color w:val="4B4F54" w:themeColor="text1"/>
          <w:sz w:val="18"/>
          <w:szCs w:val="18"/>
          <w:lang w:val="pt-PT"/>
        </w:rPr>
        <w:fldChar w:fldCharType="end"/>
      </w:r>
      <w:r w:rsidRPr="00FF7074">
        <w:rPr>
          <w:rFonts w:eastAsia="Verdana" w:cs="Verdana"/>
          <w:b w:val="0"/>
          <w:bCs w:val="0"/>
          <w:i/>
          <w:iCs/>
          <w:color w:val="4B4F54" w:themeColor="text1"/>
          <w:sz w:val="18"/>
          <w:szCs w:val="18"/>
          <w:lang w:val="pt-PT"/>
        </w:rPr>
        <w:t xml:space="preserve">: </w:t>
      </w:r>
      <w:r w:rsidR="00E37066" w:rsidRPr="00FF7074">
        <w:rPr>
          <w:rFonts w:eastAsia="Verdana" w:cs="Verdana"/>
          <w:b w:val="0"/>
          <w:bCs w:val="0"/>
          <w:i/>
          <w:iCs/>
          <w:color w:val="4B4F54" w:themeColor="text1"/>
          <w:sz w:val="18"/>
          <w:szCs w:val="18"/>
          <w:lang w:val="pt-PT"/>
        </w:rPr>
        <w:t>S</w:t>
      </w:r>
      <w:r w:rsidRPr="00FF7074">
        <w:rPr>
          <w:rFonts w:eastAsia="Verdana" w:cs="Verdana"/>
          <w:b w:val="0"/>
          <w:bCs w:val="0"/>
          <w:i/>
          <w:iCs/>
          <w:color w:val="4B4F54" w:themeColor="text1"/>
          <w:sz w:val="18"/>
          <w:szCs w:val="18"/>
          <w:lang w:val="pt-PT"/>
        </w:rPr>
        <w:t xml:space="preserve">umário das estruturas para gestão de ativos de PI e transferência de conhecimento mantidas pelo MIT, pelo </w:t>
      </w:r>
      <w:r w:rsidR="00846AA6" w:rsidRPr="00FF7074">
        <w:rPr>
          <w:rFonts w:eastAsia="Verdana" w:cs="Verdana"/>
          <w:b w:val="0"/>
          <w:bCs w:val="0"/>
          <w:i/>
          <w:iCs/>
          <w:color w:val="4B4F54" w:themeColor="text1"/>
          <w:sz w:val="18"/>
          <w:szCs w:val="18"/>
          <w:lang w:val="pt-PT"/>
        </w:rPr>
        <w:t>s</w:t>
      </w:r>
      <w:r w:rsidRPr="00FF7074">
        <w:rPr>
          <w:rFonts w:eastAsia="Verdana" w:cs="Verdana"/>
          <w:b w:val="0"/>
          <w:bCs w:val="0"/>
          <w:i/>
          <w:iCs/>
          <w:color w:val="4B4F54" w:themeColor="text1"/>
          <w:sz w:val="18"/>
          <w:szCs w:val="18"/>
          <w:lang w:val="pt-PT"/>
        </w:rPr>
        <w:t xml:space="preserve">istema da Universidade do Texas e pela </w:t>
      </w:r>
      <w:r w:rsidR="00C96376" w:rsidRPr="00FF7074">
        <w:rPr>
          <w:rFonts w:eastAsia="Verdana" w:cs="Verdana"/>
          <w:b w:val="0"/>
          <w:bCs w:val="0"/>
          <w:i/>
          <w:iCs/>
          <w:color w:val="4B4F54" w:themeColor="text1"/>
          <w:sz w:val="18"/>
          <w:szCs w:val="18"/>
          <w:lang w:val="pt-PT"/>
        </w:rPr>
        <w:t>CMU.</w:t>
      </w:r>
    </w:p>
    <w:tbl>
      <w:tblPr>
        <w:tblpPr w:leftFromText="141" w:rightFromText="141" w:vertAnchor="text" w:horzAnchor="margin" w:tblpX="-289" w:tblpY="11"/>
        <w:tblW w:w="995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CellMar>
          <w:left w:w="70" w:type="dxa"/>
          <w:right w:w="70" w:type="dxa"/>
        </w:tblCellMar>
        <w:tblLook w:val="04A0" w:firstRow="1" w:lastRow="0" w:firstColumn="1" w:lastColumn="0" w:noHBand="0" w:noVBand="1"/>
      </w:tblPr>
      <w:tblGrid>
        <w:gridCol w:w="3964"/>
        <w:gridCol w:w="1985"/>
        <w:gridCol w:w="11"/>
        <w:gridCol w:w="2013"/>
        <w:gridCol w:w="1985"/>
      </w:tblGrid>
      <w:tr w:rsidR="008E407F" w:rsidRPr="00FF7074" w14:paraId="5C2B5D9E" w14:textId="77777777" w:rsidTr="009543F4">
        <w:trPr>
          <w:trHeight w:val="573"/>
        </w:trPr>
        <w:tc>
          <w:tcPr>
            <w:tcW w:w="3964" w:type="dxa"/>
            <w:shd w:val="clear" w:color="auto" w:fill="3CC4A4"/>
            <w:vAlign w:val="center"/>
            <w:hideMark/>
          </w:tcPr>
          <w:p w14:paraId="218A06AC" w14:textId="77777777" w:rsidR="008E407F" w:rsidRPr="00FF7074" w:rsidRDefault="008E407F" w:rsidP="005B4052">
            <w:pPr>
              <w:spacing w:line="240" w:lineRule="auto"/>
              <w:ind w:firstLine="0"/>
              <w:jc w:val="center"/>
              <w:rPr>
                <w:rFonts w:asciiTheme="minorHAnsi" w:eastAsia="Verdana" w:hAnsiTheme="minorHAnsi" w:cs="Verdana"/>
                <w:b/>
                <w:color w:val="FFFFFF" w:themeColor="background1"/>
                <w:sz w:val="18"/>
                <w:szCs w:val="18"/>
                <w:lang w:val="pt-PT"/>
              </w:rPr>
            </w:pPr>
            <w:r w:rsidRPr="00FF7074">
              <w:rPr>
                <w:rFonts w:asciiTheme="minorHAnsi" w:eastAsia="Verdana" w:hAnsiTheme="minorHAnsi" w:cs="Verdana"/>
                <w:b/>
                <w:color w:val="FFFFFF" w:themeColor="background1"/>
                <w:sz w:val="18"/>
                <w:szCs w:val="18"/>
                <w:lang w:val="pt-PT"/>
              </w:rPr>
              <w:t>Atributo</w:t>
            </w:r>
          </w:p>
        </w:tc>
        <w:tc>
          <w:tcPr>
            <w:tcW w:w="1985" w:type="dxa"/>
            <w:shd w:val="clear" w:color="auto" w:fill="3CC4A4"/>
            <w:vAlign w:val="center"/>
          </w:tcPr>
          <w:p w14:paraId="472EC362" w14:textId="77777777" w:rsidR="008E407F" w:rsidRPr="00FF7074" w:rsidRDefault="008E407F" w:rsidP="005B4052">
            <w:pPr>
              <w:spacing w:line="240" w:lineRule="auto"/>
              <w:ind w:firstLine="0"/>
              <w:jc w:val="center"/>
              <w:rPr>
                <w:rFonts w:asciiTheme="minorHAnsi" w:eastAsia="Verdana" w:hAnsiTheme="minorHAnsi" w:cs="Verdana"/>
                <w:b/>
                <w:color w:val="FFFFFF" w:themeColor="background1"/>
                <w:sz w:val="18"/>
                <w:szCs w:val="18"/>
                <w:lang w:val="pt-PT"/>
              </w:rPr>
            </w:pPr>
            <w:r w:rsidRPr="00FF7074">
              <w:rPr>
                <w:rFonts w:asciiTheme="minorHAnsi" w:eastAsia="Verdana" w:hAnsiTheme="minorHAnsi" w:cs="Verdana"/>
                <w:b/>
                <w:color w:val="FFFFFF" w:themeColor="background1"/>
                <w:sz w:val="18"/>
                <w:szCs w:val="18"/>
                <w:lang w:val="pt-PT"/>
              </w:rPr>
              <w:t>MIT</w:t>
            </w:r>
          </w:p>
        </w:tc>
        <w:tc>
          <w:tcPr>
            <w:tcW w:w="2024" w:type="dxa"/>
            <w:gridSpan w:val="2"/>
            <w:shd w:val="clear" w:color="auto" w:fill="3CC4A4"/>
            <w:vAlign w:val="center"/>
          </w:tcPr>
          <w:p w14:paraId="680A6AB4" w14:textId="34565C1B" w:rsidR="008E407F" w:rsidRPr="00FF7074" w:rsidRDefault="009E609F" w:rsidP="005B4052">
            <w:pPr>
              <w:spacing w:line="240" w:lineRule="auto"/>
              <w:ind w:firstLine="0"/>
              <w:jc w:val="center"/>
              <w:rPr>
                <w:rFonts w:asciiTheme="minorHAnsi" w:eastAsia="Verdana" w:hAnsiTheme="minorHAnsi" w:cs="Verdana"/>
                <w:b/>
                <w:color w:val="FFFFFF" w:themeColor="background1"/>
                <w:sz w:val="18"/>
                <w:szCs w:val="18"/>
                <w:lang w:val="pt-PT"/>
              </w:rPr>
            </w:pPr>
            <w:r w:rsidRPr="00FF7074">
              <w:rPr>
                <w:rFonts w:asciiTheme="minorHAnsi" w:eastAsia="Verdana" w:hAnsiTheme="minorHAnsi" w:cs="Verdana"/>
                <w:b/>
                <w:color w:val="FFFFFF" w:themeColor="background1"/>
                <w:sz w:val="18"/>
                <w:szCs w:val="18"/>
                <w:lang w:val="pt-PT"/>
              </w:rPr>
              <w:t>Universidade do Texas</w:t>
            </w:r>
          </w:p>
        </w:tc>
        <w:tc>
          <w:tcPr>
            <w:tcW w:w="1985" w:type="dxa"/>
            <w:shd w:val="clear" w:color="auto" w:fill="3CC4A4"/>
            <w:vAlign w:val="center"/>
          </w:tcPr>
          <w:p w14:paraId="72AC6F01" w14:textId="77777777" w:rsidR="008E407F" w:rsidRPr="00FF7074" w:rsidRDefault="008E407F" w:rsidP="005B4052">
            <w:pPr>
              <w:spacing w:line="240" w:lineRule="auto"/>
              <w:ind w:firstLine="0"/>
              <w:jc w:val="center"/>
              <w:rPr>
                <w:rFonts w:asciiTheme="minorHAnsi" w:eastAsia="Verdana" w:hAnsiTheme="minorHAnsi" w:cs="Verdana"/>
                <w:b/>
                <w:color w:val="FFFFFF" w:themeColor="background1"/>
                <w:sz w:val="18"/>
                <w:szCs w:val="18"/>
                <w:lang w:val="pt-PT"/>
              </w:rPr>
            </w:pPr>
            <w:r w:rsidRPr="00FF7074">
              <w:rPr>
                <w:rFonts w:asciiTheme="minorHAnsi" w:eastAsia="Verdana" w:hAnsiTheme="minorHAnsi" w:cs="Verdana"/>
                <w:b/>
                <w:color w:val="FFFFFF" w:themeColor="background1"/>
                <w:sz w:val="18"/>
                <w:szCs w:val="18"/>
                <w:lang w:val="pt-PT"/>
              </w:rPr>
              <w:t>CMU</w:t>
            </w:r>
          </w:p>
        </w:tc>
      </w:tr>
      <w:tr w:rsidR="008E407F" w:rsidRPr="00FF7074" w14:paraId="20B22EE1" w14:textId="77777777" w:rsidTr="005B4052">
        <w:trPr>
          <w:trHeight w:val="573"/>
        </w:trPr>
        <w:tc>
          <w:tcPr>
            <w:tcW w:w="3964" w:type="dxa"/>
            <w:shd w:val="clear" w:color="auto" w:fill="D9D9D9" w:themeFill="background1" w:themeFillShade="D9"/>
            <w:vAlign w:val="center"/>
          </w:tcPr>
          <w:p w14:paraId="06B351BD" w14:textId="77777777" w:rsidR="008E407F" w:rsidRPr="00FF7074" w:rsidRDefault="008E407F" w:rsidP="00762B40">
            <w:pPr>
              <w:spacing w:line="240" w:lineRule="auto"/>
              <w:ind w:firstLine="0"/>
              <w:jc w:val="left"/>
              <w:rPr>
                <w:rFonts w:asciiTheme="minorHAnsi" w:eastAsia="Verdana" w:hAnsiTheme="minorHAnsi" w:cs="Verdana"/>
                <w:sz w:val="18"/>
                <w:szCs w:val="18"/>
                <w:lang w:val="pt-PT"/>
              </w:rPr>
            </w:pPr>
            <w:r w:rsidRPr="00FF7074">
              <w:rPr>
                <w:rFonts w:asciiTheme="minorHAnsi" w:eastAsia="Verdana" w:hAnsiTheme="minorHAnsi" w:cs="Verdana"/>
                <w:sz w:val="18"/>
                <w:szCs w:val="18"/>
                <w:lang w:val="pt-PT"/>
              </w:rPr>
              <w:t>Estruturas interna e externa para gestão do conhecimento e da PI</w:t>
            </w:r>
          </w:p>
        </w:tc>
        <w:tc>
          <w:tcPr>
            <w:tcW w:w="1985" w:type="dxa"/>
            <w:shd w:val="clear" w:color="auto" w:fill="F2F2F2" w:themeFill="background1" w:themeFillShade="F2"/>
            <w:vAlign w:val="center"/>
          </w:tcPr>
          <w:p w14:paraId="2853833F"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c>
          <w:tcPr>
            <w:tcW w:w="2024" w:type="dxa"/>
            <w:gridSpan w:val="2"/>
            <w:shd w:val="clear" w:color="auto" w:fill="F2F2F2" w:themeFill="background1" w:themeFillShade="F2"/>
            <w:vAlign w:val="center"/>
          </w:tcPr>
          <w:p w14:paraId="26DEDB95"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c>
          <w:tcPr>
            <w:tcW w:w="1985" w:type="dxa"/>
            <w:shd w:val="clear" w:color="auto" w:fill="F2F2F2" w:themeFill="background1" w:themeFillShade="F2"/>
            <w:vAlign w:val="center"/>
          </w:tcPr>
          <w:p w14:paraId="4E9AB8D9"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r>
      <w:tr w:rsidR="008E407F" w:rsidRPr="00FF7074" w14:paraId="5C24FDCE" w14:textId="77777777" w:rsidTr="005B4052">
        <w:trPr>
          <w:trHeight w:val="561"/>
        </w:trPr>
        <w:tc>
          <w:tcPr>
            <w:tcW w:w="3964" w:type="dxa"/>
            <w:shd w:val="clear" w:color="auto" w:fill="D9D9D9" w:themeFill="background1" w:themeFillShade="D9"/>
            <w:vAlign w:val="center"/>
          </w:tcPr>
          <w:p w14:paraId="6EBD439B" w14:textId="77777777" w:rsidR="008E407F" w:rsidRPr="00FF7074" w:rsidRDefault="008E407F" w:rsidP="00762B40">
            <w:pPr>
              <w:spacing w:line="240" w:lineRule="auto"/>
              <w:ind w:firstLine="0"/>
              <w:jc w:val="left"/>
              <w:rPr>
                <w:rFonts w:asciiTheme="minorHAnsi" w:eastAsia="Verdana" w:hAnsiTheme="minorHAnsi" w:cs="Verdana"/>
                <w:sz w:val="18"/>
                <w:szCs w:val="18"/>
                <w:lang w:val="pt-PT"/>
              </w:rPr>
            </w:pPr>
            <w:r w:rsidRPr="00FF7074">
              <w:rPr>
                <w:rFonts w:asciiTheme="minorHAnsi" w:eastAsia="Verdana" w:hAnsiTheme="minorHAnsi" w:cs="Verdana"/>
                <w:sz w:val="18"/>
                <w:szCs w:val="18"/>
                <w:lang w:val="pt-PT"/>
              </w:rPr>
              <w:t xml:space="preserve">Áreas técnicas especializadas </w:t>
            </w:r>
          </w:p>
        </w:tc>
        <w:tc>
          <w:tcPr>
            <w:tcW w:w="1985" w:type="dxa"/>
            <w:shd w:val="clear" w:color="auto" w:fill="F2F2F2" w:themeFill="background1" w:themeFillShade="F2"/>
            <w:vAlign w:val="center"/>
          </w:tcPr>
          <w:p w14:paraId="6DD7714A"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c>
          <w:tcPr>
            <w:tcW w:w="2024" w:type="dxa"/>
            <w:gridSpan w:val="2"/>
            <w:shd w:val="clear" w:color="auto" w:fill="F2F2F2" w:themeFill="background1" w:themeFillShade="F2"/>
            <w:vAlign w:val="center"/>
          </w:tcPr>
          <w:p w14:paraId="7D2217F1"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c>
          <w:tcPr>
            <w:tcW w:w="1985" w:type="dxa"/>
            <w:shd w:val="clear" w:color="auto" w:fill="F2F2F2" w:themeFill="background1" w:themeFillShade="F2"/>
            <w:vAlign w:val="center"/>
          </w:tcPr>
          <w:p w14:paraId="1FFD86B1"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r>
      <w:tr w:rsidR="008E407F" w:rsidRPr="00FF7074" w14:paraId="7B6F82BA" w14:textId="77777777" w:rsidTr="005B4052">
        <w:trPr>
          <w:trHeight w:val="561"/>
        </w:trPr>
        <w:tc>
          <w:tcPr>
            <w:tcW w:w="3964" w:type="dxa"/>
            <w:shd w:val="clear" w:color="auto" w:fill="D9D9D9" w:themeFill="background1" w:themeFillShade="D9"/>
            <w:vAlign w:val="center"/>
          </w:tcPr>
          <w:p w14:paraId="1229A8F2" w14:textId="77777777" w:rsidR="008E407F" w:rsidRPr="00FF7074" w:rsidRDefault="008E407F" w:rsidP="00762B40">
            <w:pPr>
              <w:spacing w:line="240" w:lineRule="auto"/>
              <w:ind w:firstLine="0"/>
              <w:jc w:val="left"/>
              <w:rPr>
                <w:rFonts w:asciiTheme="minorHAnsi" w:eastAsia="Verdana" w:hAnsiTheme="minorHAnsi" w:cs="Verdana"/>
                <w:sz w:val="18"/>
                <w:szCs w:val="18"/>
                <w:lang w:val="pt-PT"/>
              </w:rPr>
            </w:pPr>
            <w:r w:rsidRPr="00FF7074">
              <w:rPr>
                <w:rFonts w:asciiTheme="minorHAnsi" w:eastAsia="Verdana" w:hAnsiTheme="minorHAnsi" w:cs="Verdana"/>
                <w:sz w:val="18"/>
                <w:szCs w:val="18"/>
                <w:lang w:val="pt-PT"/>
              </w:rPr>
              <w:t>Monitoramento competitivo</w:t>
            </w:r>
          </w:p>
        </w:tc>
        <w:tc>
          <w:tcPr>
            <w:tcW w:w="1985" w:type="dxa"/>
            <w:shd w:val="clear" w:color="auto" w:fill="F2F2F2" w:themeFill="background1" w:themeFillShade="F2"/>
            <w:vAlign w:val="center"/>
          </w:tcPr>
          <w:p w14:paraId="63430EF9"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c>
          <w:tcPr>
            <w:tcW w:w="2024" w:type="dxa"/>
            <w:gridSpan w:val="2"/>
            <w:shd w:val="clear" w:color="auto" w:fill="F2F2F2" w:themeFill="background1" w:themeFillShade="F2"/>
            <w:vAlign w:val="center"/>
          </w:tcPr>
          <w:p w14:paraId="1EA2561A"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c>
          <w:tcPr>
            <w:tcW w:w="1985" w:type="dxa"/>
            <w:shd w:val="clear" w:color="auto" w:fill="F2F2F2" w:themeFill="background1" w:themeFillShade="F2"/>
            <w:vAlign w:val="center"/>
          </w:tcPr>
          <w:p w14:paraId="54CDEFA5"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r>
      <w:tr w:rsidR="008E407F" w:rsidRPr="00FF7074" w14:paraId="057B325C" w14:textId="77777777" w:rsidTr="005B4052">
        <w:trPr>
          <w:trHeight w:val="561"/>
        </w:trPr>
        <w:tc>
          <w:tcPr>
            <w:tcW w:w="3964" w:type="dxa"/>
            <w:shd w:val="clear" w:color="auto" w:fill="D9D9D9" w:themeFill="background1" w:themeFillShade="D9"/>
            <w:vAlign w:val="center"/>
          </w:tcPr>
          <w:p w14:paraId="7FF70816" w14:textId="77777777" w:rsidR="008E407F" w:rsidRPr="00FF7074" w:rsidRDefault="008E407F" w:rsidP="00762B40">
            <w:pPr>
              <w:spacing w:line="240" w:lineRule="auto"/>
              <w:ind w:firstLine="0"/>
              <w:jc w:val="left"/>
              <w:rPr>
                <w:rFonts w:asciiTheme="minorHAnsi" w:eastAsia="Verdana" w:hAnsiTheme="minorHAnsi" w:cs="Verdana"/>
                <w:sz w:val="18"/>
                <w:szCs w:val="18"/>
                <w:lang w:val="pt-PT"/>
              </w:rPr>
            </w:pPr>
            <w:r w:rsidRPr="00FF7074">
              <w:rPr>
                <w:rFonts w:asciiTheme="minorHAnsi" w:eastAsia="Verdana" w:hAnsiTheme="minorHAnsi" w:cs="Verdana"/>
                <w:sz w:val="18"/>
                <w:szCs w:val="18"/>
                <w:lang w:val="pt-PT"/>
              </w:rPr>
              <w:t>Propriedade da pesquisa e dos resultados</w:t>
            </w:r>
          </w:p>
        </w:tc>
        <w:tc>
          <w:tcPr>
            <w:tcW w:w="1985" w:type="dxa"/>
            <w:shd w:val="clear" w:color="auto" w:fill="F2F2F2" w:themeFill="background1" w:themeFillShade="F2"/>
            <w:vAlign w:val="center"/>
          </w:tcPr>
          <w:p w14:paraId="42FE3133"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100% instituição</w:t>
            </w:r>
          </w:p>
        </w:tc>
        <w:tc>
          <w:tcPr>
            <w:tcW w:w="2024" w:type="dxa"/>
            <w:gridSpan w:val="2"/>
            <w:shd w:val="clear" w:color="auto" w:fill="F2F2F2" w:themeFill="background1" w:themeFillShade="F2"/>
            <w:vAlign w:val="center"/>
          </w:tcPr>
          <w:p w14:paraId="2CB23916"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100% instituição</w:t>
            </w:r>
          </w:p>
        </w:tc>
        <w:tc>
          <w:tcPr>
            <w:tcW w:w="1985" w:type="dxa"/>
            <w:shd w:val="clear" w:color="auto" w:fill="F2F2F2" w:themeFill="background1" w:themeFillShade="F2"/>
            <w:vAlign w:val="center"/>
          </w:tcPr>
          <w:p w14:paraId="4C44C660"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100% instituição</w:t>
            </w:r>
          </w:p>
        </w:tc>
      </w:tr>
      <w:tr w:rsidR="008E407F" w:rsidRPr="00FF7074" w14:paraId="3BE74C9F" w14:textId="77777777" w:rsidTr="005B4052">
        <w:trPr>
          <w:trHeight w:val="561"/>
        </w:trPr>
        <w:tc>
          <w:tcPr>
            <w:tcW w:w="3964" w:type="dxa"/>
            <w:shd w:val="clear" w:color="auto" w:fill="D9D9D9" w:themeFill="background1" w:themeFillShade="D9"/>
            <w:vAlign w:val="center"/>
          </w:tcPr>
          <w:p w14:paraId="6247B2F6" w14:textId="77777777" w:rsidR="008E407F" w:rsidRPr="00FF7074" w:rsidRDefault="008E407F" w:rsidP="00762B40">
            <w:pPr>
              <w:spacing w:line="240" w:lineRule="auto"/>
              <w:ind w:firstLine="0"/>
              <w:jc w:val="left"/>
              <w:rPr>
                <w:rFonts w:asciiTheme="minorHAnsi" w:eastAsia="Verdana" w:hAnsiTheme="minorHAnsi" w:cs="Verdana"/>
                <w:sz w:val="18"/>
                <w:szCs w:val="18"/>
                <w:lang w:val="pt-PT"/>
              </w:rPr>
            </w:pPr>
            <w:r w:rsidRPr="00FF7074">
              <w:rPr>
                <w:rFonts w:asciiTheme="minorHAnsi" w:eastAsia="Verdana" w:hAnsiTheme="minorHAnsi" w:cs="Verdana"/>
                <w:sz w:val="18"/>
                <w:szCs w:val="18"/>
                <w:lang w:val="pt-PT"/>
              </w:rPr>
              <w:t>Auditoria externa do TTO</w:t>
            </w:r>
          </w:p>
        </w:tc>
        <w:tc>
          <w:tcPr>
            <w:tcW w:w="1985" w:type="dxa"/>
            <w:shd w:val="clear" w:color="auto" w:fill="F2F2F2" w:themeFill="background1" w:themeFillShade="F2"/>
            <w:vAlign w:val="center"/>
          </w:tcPr>
          <w:p w14:paraId="73A96267"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c>
          <w:tcPr>
            <w:tcW w:w="2024" w:type="dxa"/>
            <w:gridSpan w:val="2"/>
            <w:shd w:val="clear" w:color="auto" w:fill="F2F2F2" w:themeFill="background1" w:themeFillShade="F2"/>
            <w:vAlign w:val="center"/>
          </w:tcPr>
          <w:p w14:paraId="4430FDDB"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c>
          <w:tcPr>
            <w:tcW w:w="1985" w:type="dxa"/>
            <w:shd w:val="clear" w:color="auto" w:fill="F2F2F2" w:themeFill="background1" w:themeFillShade="F2"/>
            <w:vAlign w:val="center"/>
          </w:tcPr>
          <w:p w14:paraId="26879EE4"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r>
      <w:tr w:rsidR="008E407F" w:rsidRPr="00FF7074" w14:paraId="47FA7BD5" w14:textId="77777777" w:rsidTr="005B4052">
        <w:trPr>
          <w:trHeight w:val="561"/>
        </w:trPr>
        <w:tc>
          <w:tcPr>
            <w:tcW w:w="3964" w:type="dxa"/>
            <w:shd w:val="clear" w:color="auto" w:fill="D9D9D9" w:themeFill="background1" w:themeFillShade="D9"/>
            <w:vAlign w:val="center"/>
          </w:tcPr>
          <w:p w14:paraId="337347A7" w14:textId="77777777" w:rsidR="008E407F" w:rsidRPr="00FF7074" w:rsidRDefault="008E407F" w:rsidP="00762B40">
            <w:pPr>
              <w:spacing w:line="240" w:lineRule="auto"/>
              <w:ind w:firstLine="0"/>
              <w:jc w:val="left"/>
              <w:rPr>
                <w:rFonts w:asciiTheme="minorHAnsi" w:eastAsia="Verdana" w:hAnsiTheme="minorHAnsi" w:cs="Verdana"/>
                <w:sz w:val="18"/>
                <w:szCs w:val="18"/>
                <w:lang w:val="pt-PT"/>
              </w:rPr>
            </w:pPr>
            <w:r w:rsidRPr="00FF7074">
              <w:rPr>
                <w:rFonts w:asciiTheme="minorHAnsi" w:eastAsia="Verdana" w:hAnsiTheme="minorHAnsi" w:cs="Verdana"/>
                <w:sz w:val="18"/>
                <w:szCs w:val="18"/>
                <w:lang w:val="pt-PT"/>
              </w:rPr>
              <w:t>Presença internacional</w:t>
            </w:r>
          </w:p>
        </w:tc>
        <w:tc>
          <w:tcPr>
            <w:tcW w:w="1985" w:type="dxa"/>
            <w:shd w:val="clear" w:color="auto" w:fill="F2F2F2" w:themeFill="background1" w:themeFillShade="F2"/>
            <w:vAlign w:val="center"/>
          </w:tcPr>
          <w:p w14:paraId="6890ADFA"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c>
          <w:tcPr>
            <w:tcW w:w="2024" w:type="dxa"/>
            <w:gridSpan w:val="2"/>
            <w:shd w:val="clear" w:color="auto" w:fill="F2F2F2" w:themeFill="background1" w:themeFillShade="F2"/>
            <w:vAlign w:val="center"/>
          </w:tcPr>
          <w:p w14:paraId="116F47A2"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c>
          <w:tcPr>
            <w:tcW w:w="1985" w:type="dxa"/>
            <w:shd w:val="clear" w:color="auto" w:fill="F2F2F2" w:themeFill="background1" w:themeFillShade="F2"/>
            <w:vAlign w:val="center"/>
          </w:tcPr>
          <w:p w14:paraId="751BD655" w14:textId="77777777" w:rsidR="008E407F" w:rsidRPr="00FF7074" w:rsidRDefault="008E407F" w:rsidP="005B4052">
            <w:pPr>
              <w:spacing w:line="240" w:lineRule="auto"/>
              <w:jc w:val="center"/>
              <w:rPr>
                <w:rFonts w:asciiTheme="minorHAnsi" w:eastAsia="Verdana" w:hAnsiTheme="minorHAnsi" w:cs="Verdana"/>
                <w:sz w:val="16"/>
                <w:szCs w:val="16"/>
                <w:lang w:val="pt-PT"/>
              </w:rPr>
            </w:pPr>
          </w:p>
        </w:tc>
      </w:tr>
      <w:tr w:rsidR="008E407F" w:rsidRPr="00FF7074" w14:paraId="4A88C807" w14:textId="77777777" w:rsidTr="005B4052">
        <w:trPr>
          <w:trHeight w:val="561"/>
        </w:trPr>
        <w:tc>
          <w:tcPr>
            <w:tcW w:w="3964" w:type="dxa"/>
            <w:shd w:val="clear" w:color="auto" w:fill="D9D9D9" w:themeFill="background1" w:themeFillShade="D9"/>
            <w:vAlign w:val="center"/>
          </w:tcPr>
          <w:p w14:paraId="6F6D6514" w14:textId="77777777" w:rsidR="008E407F" w:rsidRPr="00FF7074" w:rsidRDefault="008E407F" w:rsidP="00762B40">
            <w:pPr>
              <w:spacing w:line="240" w:lineRule="auto"/>
              <w:ind w:firstLine="0"/>
              <w:jc w:val="left"/>
              <w:rPr>
                <w:rFonts w:asciiTheme="minorHAnsi" w:eastAsia="Verdana" w:hAnsiTheme="minorHAnsi" w:cs="Verdana"/>
                <w:sz w:val="18"/>
                <w:szCs w:val="18"/>
                <w:lang w:val="pt-PT"/>
              </w:rPr>
            </w:pPr>
            <w:r w:rsidRPr="00FF7074">
              <w:rPr>
                <w:rFonts w:asciiTheme="minorHAnsi" w:eastAsia="Verdana" w:hAnsiTheme="minorHAnsi" w:cs="Verdana"/>
                <w:sz w:val="18"/>
                <w:szCs w:val="18"/>
                <w:lang w:val="pt-PT"/>
              </w:rPr>
              <w:t>Política de incentivo a pesquisadores</w:t>
            </w:r>
          </w:p>
        </w:tc>
        <w:tc>
          <w:tcPr>
            <w:tcW w:w="1985" w:type="dxa"/>
            <w:shd w:val="clear" w:color="auto" w:fill="F2F2F2" w:themeFill="background1" w:themeFillShade="F2"/>
            <w:vAlign w:val="center"/>
          </w:tcPr>
          <w:p w14:paraId="52CBB423"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c>
          <w:tcPr>
            <w:tcW w:w="2024" w:type="dxa"/>
            <w:gridSpan w:val="2"/>
            <w:shd w:val="clear" w:color="auto" w:fill="F2F2F2" w:themeFill="background1" w:themeFillShade="F2"/>
            <w:vAlign w:val="center"/>
          </w:tcPr>
          <w:p w14:paraId="6BCA96ED"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c>
          <w:tcPr>
            <w:tcW w:w="1985" w:type="dxa"/>
            <w:shd w:val="clear" w:color="auto" w:fill="F2F2F2" w:themeFill="background1" w:themeFillShade="F2"/>
            <w:vAlign w:val="center"/>
          </w:tcPr>
          <w:p w14:paraId="560CF7BC"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r>
      <w:tr w:rsidR="008E407F" w:rsidRPr="00FF7074" w14:paraId="679CEBB0" w14:textId="77777777" w:rsidTr="005B4052">
        <w:trPr>
          <w:trHeight w:val="369"/>
        </w:trPr>
        <w:tc>
          <w:tcPr>
            <w:tcW w:w="3964" w:type="dxa"/>
            <w:shd w:val="clear" w:color="auto" w:fill="D9D9D9" w:themeFill="background1" w:themeFillShade="D9"/>
            <w:vAlign w:val="center"/>
          </w:tcPr>
          <w:p w14:paraId="7C6EA17C" w14:textId="77777777" w:rsidR="008E407F" w:rsidRPr="00FF7074" w:rsidRDefault="008E407F" w:rsidP="00762B40">
            <w:pPr>
              <w:spacing w:line="240" w:lineRule="auto"/>
              <w:ind w:firstLine="0"/>
              <w:jc w:val="left"/>
              <w:rPr>
                <w:rFonts w:asciiTheme="minorHAnsi" w:eastAsia="Verdana" w:hAnsiTheme="minorHAnsi" w:cs="Verdana"/>
                <w:sz w:val="18"/>
                <w:szCs w:val="18"/>
                <w:lang w:val="pt-PT"/>
              </w:rPr>
            </w:pPr>
            <w:r w:rsidRPr="00FF7074">
              <w:rPr>
                <w:rFonts w:asciiTheme="minorHAnsi" w:eastAsia="Verdana" w:hAnsiTheme="minorHAnsi" w:cs="Verdana"/>
                <w:sz w:val="18"/>
                <w:szCs w:val="18"/>
                <w:lang w:val="pt-PT"/>
              </w:rPr>
              <w:t>Incubadora</w:t>
            </w:r>
          </w:p>
        </w:tc>
        <w:tc>
          <w:tcPr>
            <w:tcW w:w="1996" w:type="dxa"/>
            <w:gridSpan w:val="2"/>
            <w:shd w:val="clear" w:color="auto" w:fill="F2F2F2" w:themeFill="background1" w:themeFillShade="F2"/>
            <w:vAlign w:val="center"/>
          </w:tcPr>
          <w:p w14:paraId="3B36164C"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c>
          <w:tcPr>
            <w:tcW w:w="2013" w:type="dxa"/>
            <w:shd w:val="clear" w:color="auto" w:fill="F2F2F2" w:themeFill="background1" w:themeFillShade="F2"/>
            <w:vAlign w:val="center"/>
          </w:tcPr>
          <w:p w14:paraId="25022C04" w14:textId="77777777" w:rsidR="008E407F" w:rsidRPr="00FF7074" w:rsidRDefault="008E407F" w:rsidP="005B4052">
            <w:pPr>
              <w:spacing w:line="240" w:lineRule="auto"/>
              <w:ind w:firstLine="0"/>
              <w:jc w:val="center"/>
              <w:rPr>
                <w:rFonts w:asciiTheme="minorHAnsi" w:eastAsia="Verdana" w:hAnsiTheme="minorHAnsi" w:cs="Verdana"/>
                <w:color w:val="000000"/>
                <w:sz w:val="16"/>
                <w:szCs w:val="16"/>
                <w:lang w:val="pt-PT"/>
              </w:rPr>
            </w:pPr>
            <w:r w:rsidRPr="00FF7074">
              <w:rPr>
                <w:rFonts w:asciiTheme="minorHAnsi" w:eastAsia="Verdana" w:hAnsiTheme="minorHAnsi" w:cs="Verdana"/>
                <w:color w:val="4B4F54" w:themeColor="text1"/>
                <w:sz w:val="16"/>
                <w:szCs w:val="16"/>
                <w:lang w:val="pt-PT"/>
              </w:rPr>
              <w:t>Sim</w:t>
            </w:r>
          </w:p>
        </w:tc>
        <w:tc>
          <w:tcPr>
            <w:tcW w:w="1985" w:type="dxa"/>
            <w:shd w:val="clear" w:color="auto" w:fill="F2F2F2" w:themeFill="background1" w:themeFillShade="F2"/>
            <w:vAlign w:val="center"/>
          </w:tcPr>
          <w:p w14:paraId="5F5F5717"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r>
      <w:tr w:rsidR="008E407F" w:rsidRPr="00FF7074" w14:paraId="515A64AE" w14:textId="77777777" w:rsidTr="005B4052">
        <w:trPr>
          <w:trHeight w:val="431"/>
        </w:trPr>
        <w:tc>
          <w:tcPr>
            <w:tcW w:w="3964" w:type="dxa"/>
            <w:shd w:val="clear" w:color="auto" w:fill="D9D9D9" w:themeFill="background1" w:themeFillShade="D9"/>
            <w:vAlign w:val="center"/>
          </w:tcPr>
          <w:p w14:paraId="0A0AB314" w14:textId="77777777" w:rsidR="008E407F" w:rsidRPr="00FF7074" w:rsidRDefault="008E407F" w:rsidP="00762B40">
            <w:pPr>
              <w:spacing w:line="240" w:lineRule="auto"/>
              <w:ind w:firstLine="0"/>
              <w:jc w:val="left"/>
              <w:rPr>
                <w:rFonts w:asciiTheme="minorHAnsi" w:eastAsia="Verdana" w:hAnsiTheme="minorHAnsi" w:cs="Verdana"/>
                <w:sz w:val="18"/>
                <w:szCs w:val="18"/>
                <w:lang w:val="pt-PT"/>
              </w:rPr>
            </w:pPr>
            <w:r w:rsidRPr="00FF7074">
              <w:rPr>
                <w:rFonts w:asciiTheme="minorHAnsi" w:eastAsia="Verdana" w:hAnsiTheme="minorHAnsi" w:cs="Verdana"/>
                <w:sz w:val="18"/>
                <w:szCs w:val="18"/>
                <w:lang w:val="pt-PT"/>
              </w:rPr>
              <w:t>Aceleradora</w:t>
            </w:r>
          </w:p>
        </w:tc>
        <w:tc>
          <w:tcPr>
            <w:tcW w:w="1996" w:type="dxa"/>
            <w:gridSpan w:val="2"/>
            <w:shd w:val="clear" w:color="auto" w:fill="F2F2F2" w:themeFill="background1" w:themeFillShade="F2"/>
            <w:vAlign w:val="center"/>
          </w:tcPr>
          <w:p w14:paraId="5784CE92"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c>
          <w:tcPr>
            <w:tcW w:w="2013" w:type="dxa"/>
            <w:shd w:val="clear" w:color="auto" w:fill="F2F2F2" w:themeFill="background1" w:themeFillShade="F2"/>
            <w:vAlign w:val="center"/>
          </w:tcPr>
          <w:p w14:paraId="1CF59BBF"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color w:val="4B4F54" w:themeColor="text1"/>
                <w:sz w:val="16"/>
                <w:szCs w:val="16"/>
                <w:lang w:val="pt-PT"/>
              </w:rPr>
              <w:t>Sim</w:t>
            </w:r>
          </w:p>
        </w:tc>
        <w:tc>
          <w:tcPr>
            <w:tcW w:w="1985" w:type="dxa"/>
            <w:shd w:val="clear" w:color="auto" w:fill="F2F2F2" w:themeFill="background1" w:themeFillShade="F2"/>
            <w:vAlign w:val="center"/>
          </w:tcPr>
          <w:p w14:paraId="1564A6A9"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r>
      <w:tr w:rsidR="008E407F" w:rsidRPr="00FF7074" w14:paraId="145B3408" w14:textId="77777777" w:rsidTr="005B4052">
        <w:trPr>
          <w:trHeight w:val="561"/>
        </w:trPr>
        <w:tc>
          <w:tcPr>
            <w:tcW w:w="3964" w:type="dxa"/>
            <w:shd w:val="clear" w:color="auto" w:fill="D9D9D9" w:themeFill="background1" w:themeFillShade="D9"/>
            <w:vAlign w:val="center"/>
          </w:tcPr>
          <w:p w14:paraId="2ED64C81" w14:textId="77777777" w:rsidR="008E407F" w:rsidRPr="00FF7074" w:rsidRDefault="008E407F" w:rsidP="00762B40">
            <w:pPr>
              <w:spacing w:line="240" w:lineRule="auto"/>
              <w:ind w:firstLine="0"/>
              <w:jc w:val="left"/>
              <w:rPr>
                <w:rFonts w:asciiTheme="minorHAnsi" w:eastAsia="Verdana" w:hAnsiTheme="minorHAnsi" w:cs="Verdana"/>
                <w:sz w:val="18"/>
                <w:szCs w:val="18"/>
                <w:lang w:val="pt-PT"/>
              </w:rPr>
            </w:pPr>
            <w:r w:rsidRPr="00FF7074">
              <w:rPr>
                <w:rFonts w:asciiTheme="minorHAnsi" w:eastAsia="Verdana" w:hAnsiTheme="minorHAnsi" w:cs="Verdana"/>
                <w:sz w:val="18"/>
                <w:szCs w:val="18"/>
                <w:lang w:val="pt-PT"/>
              </w:rPr>
              <w:t xml:space="preserve">Aconselhamento externo </w:t>
            </w:r>
            <w:r w:rsidRPr="00FF7074">
              <w:rPr>
                <w:rFonts w:ascii="Arial" w:eastAsia="Verdana" w:hAnsi="Arial" w:cs="Arial"/>
                <w:sz w:val="18"/>
                <w:szCs w:val="18"/>
                <w:lang w:val="pt-PT"/>
              </w:rPr>
              <w:t>​</w:t>
            </w:r>
            <w:r w:rsidRPr="00FF7074">
              <w:rPr>
                <w:rFonts w:asciiTheme="minorHAnsi" w:eastAsia="Verdana" w:hAnsiTheme="minorHAnsi" w:cs="Verdana"/>
                <w:sz w:val="18"/>
                <w:szCs w:val="18"/>
                <w:lang w:val="pt-PT"/>
              </w:rPr>
              <w:t>(Negócios, finanças, PI, etc.)</w:t>
            </w:r>
            <w:r w:rsidRPr="00FF7074">
              <w:rPr>
                <w:rFonts w:ascii="Arial" w:eastAsia="Verdana" w:hAnsi="Arial" w:cs="Arial"/>
                <w:sz w:val="18"/>
                <w:szCs w:val="18"/>
                <w:lang w:val="pt-PT"/>
              </w:rPr>
              <w:t>​</w:t>
            </w:r>
          </w:p>
        </w:tc>
        <w:tc>
          <w:tcPr>
            <w:tcW w:w="1985" w:type="dxa"/>
            <w:shd w:val="clear" w:color="auto" w:fill="F2F2F2" w:themeFill="background1" w:themeFillShade="F2"/>
            <w:vAlign w:val="center"/>
          </w:tcPr>
          <w:p w14:paraId="6E41CBC0"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c>
          <w:tcPr>
            <w:tcW w:w="2024" w:type="dxa"/>
            <w:gridSpan w:val="2"/>
            <w:shd w:val="clear" w:color="auto" w:fill="F2F2F2" w:themeFill="background1" w:themeFillShade="F2"/>
            <w:vAlign w:val="center"/>
          </w:tcPr>
          <w:p w14:paraId="6D326B40"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c>
          <w:tcPr>
            <w:tcW w:w="1985" w:type="dxa"/>
            <w:shd w:val="clear" w:color="auto" w:fill="F2F2F2" w:themeFill="background1" w:themeFillShade="F2"/>
            <w:vAlign w:val="center"/>
          </w:tcPr>
          <w:p w14:paraId="424962AC"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r>
      <w:tr w:rsidR="008E407F" w:rsidRPr="00FF7074" w14:paraId="2A81F3B5" w14:textId="77777777" w:rsidTr="005B4052">
        <w:trPr>
          <w:trHeight w:val="561"/>
        </w:trPr>
        <w:tc>
          <w:tcPr>
            <w:tcW w:w="3964" w:type="dxa"/>
            <w:shd w:val="clear" w:color="auto" w:fill="D9D9D9" w:themeFill="background1" w:themeFillShade="D9"/>
            <w:vAlign w:val="center"/>
          </w:tcPr>
          <w:p w14:paraId="09E7DEB1" w14:textId="77777777" w:rsidR="008E407F" w:rsidRPr="00FF7074" w:rsidRDefault="008E407F" w:rsidP="00762B40">
            <w:pPr>
              <w:spacing w:line="240" w:lineRule="auto"/>
              <w:ind w:firstLine="0"/>
              <w:jc w:val="left"/>
              <w:rPr>
                <w:rFonts w:asciiTheme="minorHAnsi" w:eastAsia="Verdana" w:hAnsiTheme="minorHAnsi" w:cs="Verdana"/>
                <w:sz w:val="18"/>
                <w:szCs w:val="18"/>
                <w:lang w:val="pt-PT"/>
              </w:rPr>
            </w:pPr>
            <w:r w:rsidRPr="00FF7074">
              <w:rPr>
                <w:rFonts w:asciiTheme="minorHAnsi" w:eastAsia="Verdana" w:hAnsiTheme="minorHAnsi" w:cs="Verdana"/>
                <w:sz w:val="18"/>
                <w:szCs w:val="18"/>
                <w:lang w:val="pt-PT"/>
              </w:rPr>
              <w:t>Comitê de investimentos e de conflito de interesse</w:t>
            </w:r>
          </w:p>
        </w:tc>
        <w:tc>
          <w:tcPr>
            <w:tcW w:w="1985" w:type="dxa"/>
            <w:shd w:val="clear" w:color="auto" w:fill="F2F2F2" w:themeFill="background1" w:themeFillShade="F2"/>
            <w:vAlign w:val="center"/>
          </w:tcPr>
          <w:p w14:paraId="1F56E03A"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c>
          <w:tcPr>
            <w:tcW w:w="2024" w:type="dxa"/>
            <w:gridSpan w:val="2"/>
            <w:shd w:val="clear" w:color="auto" w:fill="F2F2F2" w:themeFill="background1" w:themeFillShade="F2"/>
            <w:vAlign w:val="center"/>
          </w:tcPr>
          <w:p w14:paraId="62E4E630"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c>
          <w:tcPr>
            <w:tcW w:w="1985" w:type="dxa"/>
            <w:shd w:val="clear" w:color="auto" w:fill="F2F2F2" w:themeFill="background1" w:themeFillShade="F2"/>
            <w:vAlign w:val="center"/>
          </w:tcPr>
          <w:p w14:paraId="025FA678"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r>
      <w:tr w:rsidR="008E407F" w:rsidRPr="00FF7074" w14:paraId="5C63B95A" w14:textId="77777777" w:rsidTr="005B4052">
        <w:trPr>
          <w:trHeight w:val="561"/>
        </w:trPr>
        <w:tc>
          <w:tcPr>
            <w:tcW w:w="3964" w:type="dxa"/>
            <w:shd w:val="clear" w:color="auto" w:fill="D9D9D9" w:themeFill="background1" w:themeFillShade="D9"/>
            <w:vAlign w:val="center"/>
          </w:tcPr>
          <w:p w14:paraId="566F1D61" w14:textId="77777777" w:rsidR="008E407F" w:rsidRPr="00FF7074" w:rsidRDefault="008E407F" w:rsidP="00762B40">
            <w:pPr>
              <w:spacing w:line="240" w:lineRule="auto"/>
              <w:ind w:firstLine="0"/>
              <w:jc w:val="left"/>
              <w:rPr>
                <w:rFonts w:asciiTheme="minorHAnsi" w:eastAsia="Verdana" w:hAnsiTheme="minorHAnsi" w:cs="Verdana"/>
                <w:sz w:val="18"/>
                <w:szCs w:val="18"/>
                <w:lang w:val="pt-PT"/>
              </w:rPr>
            </w:pPr>
            <w:r w:rsidRPr="00FF7074">
              <w:rPr>
                <w:rFonts w:asciiTheme="minorHAnsi" w:eastAsia="Verdana" w:hAnsiTheme="minorHAnsi" w:cs="Verdana"/>
                <w:sz w:val="18"/>
                <w:szCs w:val="18"/>
                <w:lang w:val="pt-PT"/>
              </w:rPr>
              <w:t>Fornece apoio à criação de modelo de negócios e comercialização</w:t>
            </w:r>
          </w:p>
        </w:tc>
        <w:tc>
          <w:tcPr>
            <w:tcW w:w="1985" w:type="dxa"/>
            <w:shd w:val="clear" w:color="auto" w:fill="F2F2F2" w:themeFill="background1" w:themeFillShade="F2"/>
            <w:vAlign w:val="center"/>
          </w:tcPr>
          <w:p w14:paraId="7FC6ECAC"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c>
          <w:tcPr>
            <w:tcW w:w="2024" w:type="dxa"/>
            <w:gridSpan w:val="2"/>
            <w:shd w:val="clear" w:color="auto" w:fill="F2F2F2" w:themeFill="background1" w:themeFillShade="F2"/>
            <w:vAlign w:val="center"/>
          </w:tcPr>
          <w:p w14:paraId="0D728BE8"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c>
          <w:tcPr>
            <w:tcW w:w="1985" w:type="dxa"/>
            <w:shd w:val="clear" w:color="auto" w:fill="F2F2F2" w:themeFill="background1" w:themeFillShade="F2"/>
            <w:vAlign w:val="center"/>
          </w:tcPr>
          <w:p w14:paraId="7E6DFBD9"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r>
      <w:tr w:rsidR="008E407F" w:rsidRPr="00FF7074" w14:paraId="43294E37" w14:textId="77777777" w:rsidTr="005B4052">
        <w:trPr>
          <w:trHeight w:val="561"/>
        </w:trPr>
        <w:tc>
          <w:tcPr>
            <w:tcW w:w="3964" w:type="dxa"/>
            <w:shd w:val="clear" w:color="auto" w:fill="D9D9D9" w:themeFill="background1" w:themeFillShade="D9"/>
            <w:vAlign w:val="center"/>
          </w:tcPr>
          <w:p w14:paraId="78CAA5E8" w14:textId="77777777" w:rsidR="008E407F" w:rsidRPr="00FF7074" w:rsidRDefault="008E407F" w:rsidP="00762B40">
            <w:pPr>
              <w:spacing w:line="240" w:lineRule="auto"/>
              <w:ind w:firstLine="0"/>
              <w:jc w:val="left"/>
              <w:rPr>
                <w:rFonts w:asciiTheme="minorHAnsi" w:eastAsia="Verdana" w:hAnsiTheme="minorHAnsi" w:cs="Verdana"/>
                <w:sz w:val="18"/>
                <w:szCs w:val="18"/>
                <w:lang w:val="pt-PT"/>
              </w:rPr>
            </w:pPr>
            <w:r w:rsidRPr="00FF7074">
              <w:rPr>
                <w:rFonts w:asciiTheme="minorHAnsi" w:eastAsia="Verdana" w:hAnsiTheme="minorHAnsi" w:cs="Verdana"/>
                <w:sz w:val="18"/>
                <w:szCs w:val="18"/>
                <w:lang w:val="pt-PT"/>
              </w:rPr>
              <w:t xml:space="preserve">Fornece treinamento aconselhamento e benchmarking de negócios </w:t>
            </w:r>
          </w:p>
        </w:tc>
        <w:tc>
          <w:tcPr>
            <w:tcW w:w="1985" w:type="dxa"/>
            <w:shd w:val="clear" w:color="auto" w:fill="F2F2F2" w:themeFill="background1" w:themeFillShade="F2"/>
            <w:vAlign w:val="center"/>
          </w:tcPr>
          <w:p w14:paraId="114BAAEC"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c>
          <w:tcPr>
            <w:tcW w:w="2024" w:type="dxa"/>
            <w:gridSpan w:val="2"/>
            <w:shd w:val="clear" w:color="auto" w:fill="F2F2F2" w:themeFill="background1" w:themeFillShade="F2"/>
            <w:vAlign w:val="center"/>
          </w:tcPr>
          <w:p w14:paraId="1EE8DA1B"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c>
          <w:tcPr>
            <w:tcW w:w="1985" w:type="dxa"/>
            <w:shd w:val="clear" w:color="auto" w:fill="F2F2F2" w:themeFill="background1" w:themeFillShade="F2"/>
            <w:vAlign w:val="center"/>
          </w:tcPr>
          <w:p w14:paraId="66040464"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r>
      <w:tr w:rsidR="008E407F" w:rsidRPr="00FF7074" w14:paraId="76DF0F80" w14:textId="77777777" w:rsidTr="005B4052">
        <w:trPr>
          <w:trHeight w:val="561"/>
        </w:trPr>
        <w:tc>
          <w:tcPr>
            <w:tcW w:w="3964" w:type="dxa"/>
            <w:shd w:val="clear" w:color="auto" w:fill="D9D9D9" w:themeFill="background1" w:themeFillShade="D9"/>
            <w:vAlign w:val="center"/>
          </w:tcPr>
          <w:p w14:paraId="22AA5E50" w14:textId="77F6D1C1" w:rsidR="008E407F" w:rsidRPr="00FF7074" w:rsidRDefault="008E407F" w:rsidP="00762B40">
            <w:pPr>
              <w:spacing w:line="240" w:lineRule="auto"/>
              <w:ind w:firstLine="0"/>
              <w:jc w:val="left"/>
              <w:rPr>
                <w:rFonts w:asciiTheme="minorHAnsi" w:eastAsia="Verdana" w:hAnsiTheme="minorHAnsi" w:cs="Verdana"/>
                <w:sz w:val="18"/>
                <w:szCs w:val="18"/>
                <w:lang w:val="pt-PT"/>
              </w:rPr>
            </w:pPr>
            <w:r w:rsidRPr="00FF7074">
              <w:rPr>
                <w:rFonts w:asciiTheme="minorHAnsi" w:eastAsia="Verdana" w:hAnsiTheme="minorHAnsi" w:cs="Verdana"/>
                <w:sz w:val="18"/>
                <w:szCs w:val="18"/>
                <w:lang w:val="pt-PT"/>
              </w:rPr>
              <w:t xml:space="preserve">Possibilidade de participação do TTO em </w:t>
            </w:r>
            <w:proofErr w:type="spellStart"/>
            <w:r w:rsidRPr="00FF7074">
              <w:rPr>
                <w:rFonts w:asciiTheme="minorHAnsi" w:eastAsia="Verdana" w:hAnsiTheme="minorHAnsi" w:cs="Verdana"/>
                <w:i/>
                <w:sz w:val="18"/>
                <w:szCs w:val="18"/>
                <w:lang w:val="pt-PT"/>
              </w:rPr>
              <w:t>spin-offs</w:t>
            </w:r>
            <w:proofErr w:type="spellEnd"/>
            <w:r w:rsidRPr="00FF7074">
              <w:rPr>
                <w:rFonts w:ascii="Arial" w:eastAsia="Verdana" w:hAnsi="Arial" w:cs="Arial"/>
                <w:sz w:val="18"/>
                <w:szCs w:val="18"/>
                <w:lang w:val="pt-PT"/>
              </w:rPr>
              <w:t>​​</w:t>
            </w:r>
          </w:p>
        </w:tc>
        <w:tc>
          <w:tcPr>
            <w:tcW w:w="1985" w:type="dxa"/>
            <w:shd w:val="clear" w:color="auto" w:fill="F2F2F2" w:themeFill="background1" w:themeFillShade="F2"/>
            <w:vAlign w:val="center"/>
          </w:tcPr>
          <w:p w14:paraId="7CF0DDBA"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c>
          <w:tcPr>
            <w:tcW w:w="2024" w:type="dxa"/>
            <w:gridSpan w:val="2"/>
            <w:shd w:val="clear" w:color="auto" w:fill="F2F2F2" w:themeFill="background1" w:themeFillShade="F2"/>
            <w:vAlign w:val="center"/>
          </w:tcPr>
          <w:p w14:paraId="3F773164"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c>
          <w:tcPr>
            <w:tcW w:w="1985" w:type="dxa"/>
            <w:shd w:val="clear" w:color="auto" w:fill="F2F2F2" w:themeFill="background1" w:themeFillShade="F2"/>
            <w:vAlign w:val="center"/>
          </w:tcPr>
          <w:p w14:paraId="5AAE96E1"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Sim</w:t>
            </w:r>
          </w:p>
        </w:tc>
      </w:tr>
      <w:tr w:rsidR="008E407F" w:rsidRPr="00FF7074" w14:paraId="1ECC1E52" w14:textId="77777777" w:rsidTr="005B4052">
        <w:trPr>
          <w:trHeight w:val="561"/>
        </w:trPr>
        <w:tc>
          <w:tcPr>
            <w:tcW w:w="3964" w:type="dxa"/>
            <w:shd w:val="clear" w:color="auto" w:fill="D9D9D9" w:themeFill="background1" w:themeFillShade="D9"/>
            <w:vAlign w:val="center"/>
          </w:tcPr>
          <w:p w14:paraId="66629291" w14:textId="77777777" w:rsidR="008E407F" w:rsidRPr="00FF7074" w:rsidRDefault="008E407F" w:rsidP="00762B40">
            <w:pPr>
              <w:spacing w:line="240" w:lineRule="auto"/>
              <w:ind w:firstLine="0"/>
              <w:jc w:val="left"/>
              <w:rPr>
                <w:rFonts w:asciiTheme="minorHAnsi" w:eastAsia="Verdana" w:hAnsiTheme="minorHAnsi" w:cs="Verdana"/>
                <w:sz w:val="18"/>
                <w:szCs w:val="18"/>
                <w:lang w:val="pt-PT"/>
              </w:rPr>
            </w:pPr>
            <w:r w:rsidRPr="00FF7074">
              <w:rPr>
                <w:rFonts w:asciiTheme="minorHAnsi" w:eastAsia="Verdana" w:hAnsiTheme="minorHAnsi" w:cs="Verdana"/>
                <w:sz w:val="18"/>
                <w:szCs w:val="18"/>
                <w:lang w:val="pt-PT"/>
              </w:rPr>
              <w:t xml:space="preserve">Formas de participação do TTO em </w:t>
            </w:r>
            <w:proofErr w:type="spellStart"/>
            <w:r w:rsidRPr="00FF7074">
              <w:rPr>
                <w:rFonts w:asciiTheme="minorHAnsi" w:eastAsia="Verdana" w:hAnsiTheme="minorHAnsi" w:cs="Verdana"/>
                <w:i/>
                <w:sz w:val="18"/>
                <w:szCs w:val="18"/>
                <w:lang w:val="pt-PT"/>
              </w:rPr>
              <w:t>spin-offs</w:t>
            </w:r>
            <w:proofErr w:type="spellEnd"/>
            <w:r w:rsidRPr="00FF7074">
              <w:rPr>
                <w:rFonts w:asciiTheme="minorHAnsi" w:eastAsia="Verdana" w:hAnsiTheme="minorHAnsi" w:cs="Verdana"/>
                <w:sz w:val="18"/>
                <w:szCs w:val="18"/>
                <w:lang w:val="pt-PT"/>
              </w:rPr>
              <w:t xml:space="preserve"> (</w:t>
            </w:r>
            <w:r w:rsidRPr="00FF7074">
              <w:rPr>
                <w:rFonts w:asciiTheme="minorHAnsi" w:eastAsia="Verdana" w:hAnsiTheme="minorHAnsi" w:cs="Verdana"/>
                <w:i/>
                <w:sz w:val="18"/>
                <w:szCs w:val="18"/>
                <w:lang w:val="pt-PT"/>
              </w:rPr>
              <w:t>e.g.</w:t>
            </w:r>
            <w:r w:rsidRPr="00FF7074">
              <w:rPr>
                <w:rFonts w:asciiTheme="minorHAnsi" w:eastAsia="Verdana" w:hAnsiTheme="minorHAnsi" w:cs="Verdana"/>
                <w:sz w:val="18"/>
                <w:szCs w:val="18"/>
                <w:lang w:val="pt-PT"/>
              </w:rPr>
              <w:t xml:space="preserve"> </w:t>
            </w:r>
            <w:proofErr w:type="spellStart"/>
            <w:r w:rsidRPr="00FF7074">
              <w:rPr>
                <w:rFonts w:asciiTheme="minorHAnsi" w:eastAsia="Verdana" w:hAnsiTheme="minorHAnsi" w:cs="Verdana"/>
                <w:sz w:val="18"/>
                <w:szCs w:val="18"/>
                <w:lang w:val="pt-PT"/>
              </w:rPr>
              <w:t>equity</w:t>
            </w:r>
            <w:proofErr w:type="spellEnd"/>
            <w:r w:rsidRPr="00FF7074">
              <w:rPr>
                <w:rFonts w:asciiTheme="minorHAnsi" w:eastAsia="Verdana" w:hAnsiTheme="minorHAnsi" w:cs="Verdana"/>
                <w:sz w:val="18"/>
                <w:szCs w:val="18"/>
                <w:lang w:val="pt-PT"/>
              </w:rPr>
              <w:t>)</w:t>
            </w:r>
          </w:p>
        </w:tc>
        <w:tc>
          <w:tcPr>
            <w:tcW w:w="1985" w:type="dxa"/>
            <w:shd w:val="clear" w:color="auto" w:fill="F2F2F2" w:themeFill="background1" w:themeFillShade="F2"/>
            <w:vAlign w:val="center"/>
          </w:tcPr>
          <w:p w14:paraId="6E9DA242"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Caso a caso</w:t>
            </w:r>
          </w:p>
        </w:tc>
        <w:tc>
          <w:tcPr>
            <w:tcW w:w="2024" w:type="dxa"/>
            <w:gridSpan w:val="2"/>
            <w:shd w:val="clear" w:color="auto" w:fill="F2F2F2" w:themeFill="background1" w:themeFillShade="F2"/>
            <w:vAlign w:val="center"/>
          </w:tcPr>
          <w:p w14:paraId="3066B929"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Caso a caso</w:t>
            </w:r>
          </w:p>
        </w:tc>
        <w:tc>
          <w:tcPr>
            <w:tcW w:w="1985" w:type="dxa"/>
            <w:shd w:val="clear" w:color="auto" w:fill="F2F2F2" w:themeFill="background1" w:themeFillShade="F2"/>
            <w:vAlign w:val="center"/>
          </w:tcPr>
          <w:p w14:paraId="6FDA250C" w14:textId="77777777" w:rsidR="008E407F" w:rsidRPr="00FF7074" w:rsidRDefault="008E407F" w:rsidP="005B4052">
            <w:pPr>
              <w:spacing w:line="240" w:lineRule="auto"/>
              <w:ind w:firstLine="0"/>
              <w:jc w:val="center"/>
              <w:rPr>
                <w:rFonts w:asciiTheme="minorHAnsi" w:eastAsia="Verdana" w:hAnsiTheme="minorHAnsi" w:cs="Verdana"/>
                <w:sz w:val="16"/>
                <w:szCs w:val="16"/>
                <w:lang w:val="pt-PT"/>
              </w:rPr>
            </w:pPr>
            <w:r w:rsidRPr="00FF7074">
              <w:rPr>
                <w:rFonts w:asciiTheme="minorHAnsi" w:eastAsia="Verdana" w:hAnsiTheme="minorHAnsi" w:cs="Verdana"/>
                <w:sz w:val="16"/>
                <w:szCs w:val="16"/>
                <w:lang w:val="pt-PT"/>
              </w:rPr>
              <w:t>&lt;50%</w:t>
            </w:r>
          </w:p>
        </w:tc>
      </w:tr>
      <w:tr w:rsidR="008E407F" w:rsidRPr="00FF7074" w14:paraId="5DE2DA79" w14:textId="77777777" w:rsidTr="005B4052">
        <w:trPr>
          <w:trHeight w:val="561"/>
        </w:trPr>
        <w:tc>
          <w:tcPr>
            <w:tcW w:w="3964" w:type="dxa"/>
            <w:shd w:val="clear" w:color="auto" w:fill="D9D9D9" w:themeFill="background1" w:themeFillShade="D9"/>
            <w:vAlign w:val="center"/>
          </w:tcPr>
          <w:p w14:paraId="17B3E511" w14:textId="77777777" w:rsidR="008E407F" w:rsidRPr="00FF7074" w:rsidRDefault="008E407F" w:rsidP="00762B40">
            <w:pPr>
              <w:spacing w:line="240" w:lineRule="auto"/>
              <w:ind w:firstLine="0"/>
              <w:jc w:val="left"/>
              <w:rPr>
                <w:rFonts w:asciiTheme="minorHAnsi" w:eastAsia="Verdana" w:hAnsiTheme="minorHAnsi" w:cs="Verdana"/>
                <w:sz w:val="18"/>
                <w:szCs w:val="18"/>
                <w:lang w:val="pt-PT"/>
              </w:rPr>
            </w:pPr>
            <w:r w:rsidRPr="00FF7074">
              <w:rPr>
                <w:rFonts w:asciiTheme="minorHAnsi" w:eastAsia="Verdana" w:hAnsiTheme="minorHAnsi" w:cs="Verdana"/>
                <w:sz w:val="18"/>
                <w:szCs w:val="18"/>
                <w:lang w:val="pt-PT"/>
              </w:rPr>
              <w:t>Financiamento privado</w:t>
            </w:r>
          </w:p>
        </w:tc>
        <w:tc>
          <w:tcPr>
            <w:tcW w:w="1985" w:type="dxa"/>
            <w:shd w:val="clear" w:color="auto" w:fill="F2F2F2" w:themeFill="background1" w:themeFillShade="F2"/>
            <w:vAlign w:val="center"/>
          </w:tcPr>
          <w:p w14:paraId="6B677645" w14:textId="77777777" w:rsidR="008E407F" w:rsidRPr="00BB49FE" w:rsidRDefault="008E407F" w:rsidP="005B4052">
            <w:pPr>
              <w:spacing w:line="240" w:lineRule="auto"/>
              <w:ind w:firstLine="0"/>
              <w:jc w:val="center"/>
              <w:rPr>
                <w:rFonts w:asciiTheme="minorHAnsi" w:eastAsia="Verdana" w:hAnsiTheme="minorHAnsi" w:cs="Verdana"/>
                <w:i/>
                <w:sz w:val="16"/>
                <w:szCs w:val="16"/>
                <w:lang w:val="en-GB"/>
              </w:rPr>
            </w:pPr>
            <w:r w:rsidRPr="00BB49FE">
              <w:rPr>
                <w:rFonts w:asciiTheme="minorHAnsi" w:eastAsia="Verdana" w:hAnsiTheme="minorHAnsi" w:cs="Verdana"/>
                <w:i/>
                <w:sz w:val="16"/>
                <w:szCs w:val="16"/>
                <w:lang w:val="en-GB"/>
              </w:rPr>
              <w:t>VC e MIT fund instruments</w:t>
            </w:r>
          </w:p>
        </w:tc>
        <w:tc>
          <w:tcPr>
            <w:tcW w:w="2024" w:type="dxa"/>
            <w:gridSpan w:val="2"/>
            <w:shd w:val="clear" w:color="auto" w:fill="F2F2F2" w:themeFill="background1" w:themeFillShade="F2"/>
            <w:vAlign w:val="center"/>
          </w:tcPr>
          <w:p w14:paraId="7B311EA3" w14:textId="77777777" w:rsidR="008E407F" w:rsidRPr="00BB49FE" w:rsidRDefault="008E407F" w:rsidP="005B4052">
            <w:pPr>
              <w:spacing w:line="240" w:lineRule="auto"/>
              <w:ind w:firstLine="0"/>
              <w:jc w:val="center"/>
              <w:rPr>
                <w:rFonts w:asciiTheme="minorHAnsi" w:eastAsia="Verdana" w:hAnsiTheme="minorHAnsi" w:cs="Verdana"/>
                <w:i/>
                <w:sz w:val="16"/>
                <w:szCs w:val="16"/>
                <w:lang w:val="en-GB"/>
              </w:rPr>
            </w:pPr>
            <w:r w:rsidRPr="00BB49FE">
              <w:rPr>
                <w:rFonts w:asciiTheme="minorHAnsi" w:eastAsia="Verdana" w:hAnsiTheme="minorHAnsi" w:cs="Verdana"/>
                <w:i/>
                <w:sz w:val="16"/>
                <w:szCs w:val="16"/>
                <w:lang w:val="en-GB"/>
              </w:rPr>
              <w:t>VC Seed Fund</w:t>
            </w:r>
          </w:p>
          <w:p w14:paraId="267150DF" w14:textId="77777777" w:rsidR="008E407F" w:rsidRPr="00BB49FE" w:rsidRDefault="008E407F" w:rsidP="005B4052">
            <w:pPr>
              <w:spacing w:line="240" w:lineRule="auto"/>
              <w:ind w:firstLine="0"/>
              <w:jc w:val="center"/>
              <w:rPr>
                <w:rFonts w:asciiTheme="minorHAnsi" w:eastAsia="Verdana" w:hAnsiTheme="minorHAnsi" w:cs="Verdana"/>
                <w:i/>
                <w:sz w:val="16"/>
                <w:szCs w:val="16"/>
                <w:lang w:val="en-GB"/>
              </w:rPr>
            </w:pPr>
            <w:r w:rsidRPr="00BB49FE">
              <w:rPr>
                <w:rFonts w:asciiTheme="minorHAnsi" w:eastAsia="Verdana" w:hAnsiTheme="minorHAnsi" w:cs="Verdana"/>
                <w:i/>
                <w:sz w:val="16"/>
                <w:szCs w:val="16"/>
                <w:lang w:val="en-GB"/>
              </w:rPr>
              <w:t>UT Horizon Fund</w:t>
            </w:r>
          </w:p>
        </w:tc>
        <w:tc>
          <w:tcPr>
            <w:tcW w:w="1985" w:type="dxa"/>
            <w:shd w:val="clear" w:color="auto" w:fill="F2F2F2" w:themeFill="background1" w:themeFillShade="F2"/>
            <w:vAlign w:val="center"/>
          </w:tcPr>
          <w:p w14:paraId="64384603" w14:textId="77777777" w:rsidR="008E407F" w:rsidRPr="00FF7074" w:rsidRDefault="008E407F" w:rsidP="005B4052">
            <w:pPr>
              <w:spacing w:line="240" w:lineRule="auto"/>
              <w:ind w:firstLine="0"/>
              <w:jc w:val="center"/>
              <w:rPr>
                <w:rFonts w:asciiTheme="minorHAnsi" w:eastAsia="Verdana" w:hAnsiTheme="minorHAnsi" w:cs="Verdana"/>
                <w:i/>
                <w:sz w:val="16"/>
                <w:szCs w:val="16"/>
                <w:lang w:val="pt-PT"/>
              </w:rPr>
            </w:pPr>
            <w:r w:rsidRPr="00FF7074">
              <w:rPr>
                <w:rFonts w:asciiTheme="minorHAnsi" w:eastAsia="Verdana" w:hAnsiTheme="minorHAnsi" w:cs="Verdana"/>
                <w:i/>
                <w:sz w:val="16"/>
                <w:szCs w:val="16"/>
                <w:lang w:val="pt-PT"/>
              </w:rPr>
              <w:t xml:space="preserve">VC Venture Bridge </w:t>
            </w:r>
            <w:proofErr w:type="spellStart"/>
            <w:r w:rsidRPr="00FF7074">
              <w:rPr>
                <w:rFonts w:asciiTheme="minorHAnsi" w:eastAsia="Verdana" w:hAnsiTheme="minorHAnsi" w:cs="Verdana"/>
                <w:i/>
                <w:sz w:val="16"/>
                <w:szCs w:val="16"/>
                <w:lang w:val="pt-PT"/>
              </w:rPr>
              <w:t>program</w:t>
            </w:r>
            <w:proofErr w:type="spellEnd"/>
          </w:p>
        </w:tc>
      </w:tr>
    </w:tbl>
    <w:p w14:paraId="62E437AF" w14:textId="61E7773B" w:rsidR="008E407F" w:rsidRPr="00FF7074" w:rsidRDefault="00E37066" w:rsidP="00E37066">
      <w:pPr>
        <w:pStyle w:val="PargrafodaLista"/>
        <w:spacing w:before="240" w:after="0"/>
        <w:ind w:left="0" w:firstLine="0"/>
        <w:jc w:val="center"/>
        <w:rPr>
          <w:rFonts w:eastAsia="Verdana" w:cs="Verdana"/>
          <w:sz w:val="18"/>
          <w:szCs w:val="18"/>
          <w:lang w:val="pt-PT" w:eastAsia="pt-PT"/>
        </w:rPr>
      </w:pPr>
      <w:r w:rsidRPr="00FF7074">
        <w:rPr>
          <w:rFonts w:eastAsia="Verdana" w:cs="Verdana"/>
          <w:i/>
          <w:iCs/>
          <w:color w:val="4B4F54" w:themeColor="text1"/>
          <w:sz w:val="16"/>
          <w:szCs w:val="16"/>
          <w:lang w:val="pt-PT"/>
        </w:rPr>
        <w:t>Fonte: Elaboração própria a partir de informações divulgadas pelas instituições.</w:t>
      </w:r>
    </w:p>
    <w:p w14:paraId="4C96D3AB" w14:textId="77777777" w:rsidR="00BB0661" w:rsidRPr="00FF7074" w:rsidRDefault="00BB0661" w:rsidP="00BB0661">
      <w:pPr>
        <w:pStyle w:val="PargrafodaLista"/>
        <w:ind w:left="0" w:firstLine="0"/>
        <w:rPr>
          <w:rFonts w:eastAsia="Verdana" w:cs="Verdana"/>
          <w:lang w:val="pt-PT" w:eastAsia="pt-PT"/>
        </w:rPr>
      </w:pPr>
    </w:p>
    <w:p w14:paraId="1925FA17" w14:textId="77777777" w:rsidR="00BB0661" w:rsidRPr="00FF7074" w:rsidRDefault="00BB0661" w:rsidP="00BB0661">
      <w:pPr>
        <w:pStyle w:val="PargrafodaLista"/>
        <w:ind w:left="0" w:firstLine="0"/>
        <w:rPr>
          <w:rFonts w:eastAsia="Verdana" w:cs="Verdana"/>
          <w:lang w:val="pt-PT" w:eastAsia="pt-PT"/>
        </w:rPr>
      </w:pPr>
    </w:p>
    <w:p w14:paraId="331E19A4" w14:textId="596B0984" w:rsidR="00F3137A" w:rsidRPr="00FF7074" w:rsidRDefault="00F3137A" w:rsidP="00F3137A">
      <w:pPr>
        <w:pStyle w:val="Ttulo1"/>
        <w:spacing w:line="288" w:lineRule="auto"/>
      </w:pPr>
      <w:bookmarkStart w:id="47" w:name="_Toc138420942"/>
      <w:r w:rsidRPr="00FF7074">
        <w:lastRenderedPageBreak/>
        <w:t xml:space="preserve">MODELOS DE TRANSFERÊNCIA </w:t>
      </w:r>
      <w:r w:rsidR="00146F15">
        <w:t xml:space="preserve">DE TECNOLOGIA </w:t>
      </w:r>
      <w:r w:rsidR="00996F9A" w:rsidRPr="00FF7074">
        <w:t>DE</w:t>
      </w:r>
      <w:r w:rsidR="001E5B37" w:rsidRPr="00FF7074">
        <w:t xml:space="preserve"> </w:t>
      </w:r>
      <w:r w:rsidR="00146F15">
        <w:t>UNIVERSIDADES</w:t>
      </w:r>
      <w:r w:rsidR="001E5B37" w:rsidRPr="00FF7074">
        <w:t xml:space="preserve"> PORTUGUESAS</w:t>
      </w:r>
      <w:bookmarkEnd w:id="47"/>
    </w:p>
    <w:p w14:paraId="530E9630" w14:textId="77777777" w:rsidR="00947640" w:rsidRPr="00FF7074" w:rsidRDefault="00947640" w:rsidP="00877A29">
      <w:pPr>
        <w:pStyle w:val="PargrafodaLista"/>
        <w:ind w:left="0" w:firstLine="0"/>
        <w:rPr>
          <w:rFonts w:eastAsia="Verdana" w:cs="Verdana"/>
          <w:color w:val="auto"/>
          <w:kern w:val="0"/>
          <w:lang w:val="pt-PT" w:eastAsia="pt-PT"/>
        </w:rPr>
      </w:pPr>
      <w:r w:rsidRPr="00FF7074">
        <w:rPr>
          <w:rFonts w:eastAsia="Verdana" w:cs="Verdana"/>
          <w:color w:val="auto"/>
          <w:kern w:val="0"/>
          <w:lang w:val="pt-PT" w:eastAsia="pt-PT"/>
        </w:rPr>
        <w:t>Tal como nas suas congéneres americanas analisadas no capítulo anterior, as Instituições de Ensino Superior (IES) portuguesas reconhecem na transferência de tecnologia um dos grandes pilares para a valorização da propriedade intelectual da instituição, a possibilidade de retorno, mesmo que parcial, do investimento realizado em atividade de I&amp;D e sua proteção por direitos de PI, a dinamização das relações empresariais e da promoção do empreendedorismo para a criação de valor económico para o país.</w:t>
      </w:r>
    </w:p>
    <w:p w14:paraId="71A48DB2" w14:textId="32371FAA" w:rsidR="00947640" w:rsidRPr="00FF7074" w:rsidRDefault="00947640" w:rsidP="00877A29">
      <w:pPr>
        <w:pStyle w:val="PargrafodaLista"/>
        <w:ind w:left="0" w:firstLine="0"/>
        <w:rPr>
          <w:rFonts w:eastAsia="Verdana" w:cs="Verdana"/>
          <w:color w:val="auto"/>
          <w:kern w:val="0"/>
          <w:lang w:val="pt-PT" w:eastAsia="pt-PT"/>
        </w:rPr>
      </w:pPr>
      <w:r w:rsidRPr="00FF7074">
        <w:rPr>
          <w:rFonts w:eastAsia="Verdana" w:cs="Verdana"/>
          <w:color w:val="auto"/>
          <w:kern w:val="0"/>
          <w:lang w:val="pt-PT" w:eastAsia="pt-PT"/>
        </w:rPr>
        <w:t>A transferência de tecnologia é um processo complexo e depende de vários fatores, incluindo a natureza da tecnologia, o interesse do setor empresarial, a capacidade de negociação e a disponibilidade de recursos. Assim, o modelo de transferência de tecnologia implementado nas diferentes IES portuguesas pode variar, uma vez que cada instituição pode ter suas próprias políticas e abordagens específicas para promover a transferência de tecnologia</w:t>
      </w:r>
      <w:r w:rsidR="005E0090" w:rsidRPr="00FF7074">
        <w:rPr>
          <w:rFonts w:eastAsia="Verdana" w:cs="Verdana"/>
          <w:color w:val="auto"/>
          <w:kern w:val="0"/>
          <w:lang w:val="pt-PT" w:eastAsia="pt-PT"/>
        </w:rPr>
        <w:t>. C</w:t>
      </w:r>
      <w:r w:rsidRPr="00FF7074">
        <w:rPr>
          <w:rFonts w:eastAsia="Verdana" w:cs="Verdana"/>
          <w:color w:val="auto"/>
          <w:kern w:val="0"/>
          <w:lang w:val="pt-PT" w:eastAsia="pt-PT"/>
        </w:rPr>
        <w:t xml:space="preserve">ontudo podemos </w:t>
      </w:r>
      <w:r w:rsidR="005E0090" w:rsidRPr="00FF7074">
        <w:rPr>
          <w:rFonts w:eastAsia="Verdana" w:cs="Verdana"/>
          <w:color w:val="auto"/>
          <w:kern w:val="0"/>
          <w:lang w:val="pt-PT" w:eastAsia="pt-PT"/>
        </w:rPr>
        <w:t>numa</w:t>
      </w:r>
      <w:r w:rsidRPr="00FF7074">
        <w:rPr>
          <w:rFonts w:eastAsia="Verdana" w:cs="Verdana"/>
          <w:color w:val="auto"/>
          <w:kern w:val="0"/>
          <w:lang w:val="pt-PT" w:eastAsia="pt-PT"/>
        </w:rPr>
        <w:t xml:space="preserve"> análise mais global </w:t>
      </w:r>
      <w:r w:rsidR="00D31249" w:rsidRPr="00FF7074">
        <w:rPr>
          <w:rFonts w:eastAsia="Verdana" w:cs="Verdana"/>
          <w:color w:val="auto"/>
          <w:kern w:val="0"/>
          <w:lang w:val="pt-PT" w:eastAsia="pt-PT"/>
        </w:rPr>
        <w:t>podemos</w:t>
      </w:r>
      <w:r w:rsidRPr="00FF7074">
        <w:rPr>
          <w:rFonts w:eastAsia="Verdana" w:cs="Verdana"/>
          <w:color w:val="auto"/>
          <w:kern w:val="0"/>
          <w:lang w:val="pt-PT" w:eastAsia="pt-PT"/>
        </w:rPr>
        <w:t xml:space="preserve"> inferir que existem aspetos comuns no modelo de transferência de tecnologia adotado por muitas </w:t>
      </w:r>
      <w:r w:rsidR="00D31249" w:rsidRPr="00FF7074">
        <w:rPr>
          <w:rFonts w:eastAsia="Verdana" w:cs="Verdana"/>
          <w:color w:val="auto"/>
          <w:kern w:val="0"/>
          <w:lang w:val="pt-PT" w:eastAsia="pt-PT"/>
        </w:rPr>
        <w:t>IES nacionais</w:t>
      </w:r>
      <w:r w:rsidRPr="00FF7074">
        <w:rPr>
          <w:rFonts w:eastAsia="Verdana" w:cs="Verdana"/>
          <w:color w:val="auto"/>
          <w:kern w:val="0"/>
          <w:lang w:val="pt-PT" w:eastAsia="pt-PT"/>
        </w:rPr>
        <w:t>.</w:t>
      </w:r>
    </w:p>
    <w:p w14:paraId="50DCD2D5" w14:textId="77777777" w:rsidR="00947640" w:rsidRPr="00FF7074" w:rsidRDefault="00947640" w:rsidP="00877A29">
      <w:pPr>
        <w:pStyle w:val="PargrafodaLista"/>
        <w:ind w:left="0" w:firstLine="0"/>
        <w:rPr>
          <w:rFonts w:eastAsia="Verdana" w:cs="Verdana"/>
          <w:color w:val="auto"/>
          <w:kern w:val="0"/>
          <w:sz w:val="4"/>
          <w:szCs w:val="4"/>
          <w:lang w:val="pt-PT" w:eastAsia="pt-PT"/>
        </w:rPr>
      </w:pPr>
    </w:p>
    <w:p w14:paraId="4291283F" w14:textId="04C128D7" w:rsidR="00947640" w:rsidRPr="00FF7074" w:rsidRDefault="00947640" w:rsidP="00877A29">
      <w:pPr>
        <w:pStyle w:val="PargrafodaLista"/>
        <w:ind w:left="0" w:firstLine="0"/>
        <w:rPr>
          <w:rFonts w:eastAsia="Verdana" w:cs="Verdana"/>
          <w:color w:val="auto"/>
          <w:kern w:val="0"/>
          <w:lang w:val="pt-PT" w:eastAsia="pt-PT"/>
        </w:rPr>
      </w:pPr>
      <w:r w:rsidRPr="00FF7074">
        <w:rPr>
          <w:rFonts w:eastAsia="Verdana" w:cs="Verdana"/>
          <w:b/>
          <w:bCs/>
          <w:color w:val="auto"/>
          <w:kern w:val="0"/>
          <w:lang w:val="pt-PT" w:eastAsia="pt-PT"/>
        </w:rPr>
        <w:t>Escritórios de Transferência de Tecnologia</w:t>
      </w:r>
      <w:r w:rsidRPr="00FF7074">
        <w:rPr>
          <w:rFonts w:eastAsia="Verdana" w:cs="Verdana"/>
          <w:color w:val="auto"/>
          <w:kern w:val="0"/>
          <w:lang w:val="pt-PT" w:eastAsia="pt-PT"/>
        </w:rPr>
        <w:t xml:space="preserve">: A maioria das universidades portuguesas possui um </w:t>
      </w:r>
      <w:r w:rsidR="00F7391E" w:rsidRPr="00FF7074">
        <w:rPr>
          <w:rFonts w:eastAsia="Verdana" w:cs="Verdana"/>
          <w:color w:val="auto"/>
          <w:kern w:val="0"/>
          <w:lang w:val="pt-PT" w:eastAsia="pt-PT"/>
        </w:rPr>
        <w:t>Gabinete</w:t>
      </w:r>
      <w:r w:rsidR="00FA4B22">
        <w:rPr>
          <w:rFonts w:eastAsia="Verdana" w:cs="Verdana"/>
          <w:color w:val="auto"/>
          <w:kern w:val="0"/>
          <w:lang w:val="pt-PT" w:eastAsia="pt-PT"/>
        </w:rPr>
        <w:t xml:space="preserve">s </w:t>
      </w:r>
      <w:r w:rsidRPr="00FF7074">
        <w:rPr>
          <w:rFonts w:eastAsia="Verdana" w:cs="Verdana"/>
          <w:color w:val="auto"/>
          <w:kern w:val="0"/>
          <w:lang w:val="pt-PT" w:eastAsia="pt-PT"/>
        </w:rPr>
        <w:t xml:space="preserve">de Transferência de Tecnologia </w:t>
      </w:r>
      <w:r w:rsidR="0063387D" w:rsidRPr="00FF7074">
        <w:rPr>
          <w:rFonts w:eastAsia="Verdana" w:cs="Verdana"/>
          <w:lang w:val="pt-PT" w:eastAsia="pt-PT"/>
        </w:rPr>
        <w:t xml:space="preserve">(em inglês, </w:t>
      </w:r>
      <w:proofErr w:type="spellStart"/>
      <w:r w:rsidR="0063387D" w:rsidRPr="00FF7074">
        <w:rPr>
          <w:rFonts w:eastAsia="Verdana" w:cs="Verdana"/>
          <w:i/>
          <w:iCs/>
          <w:lang w:val="pt-PT" w:eastAsia="pt-PT"/>
        </w:rPr>
        <w:t>Technology</w:t>
      </w:r>
      <w:proofErr w:type="spellEnd"/>
      <w:r w:rsidR="0063387D" w:rsidRPr="00FF7074">
        <w:rPr>
          <w:rFonts w:eastAsia="Verdana" w:cs="Verdana"/>
          <w:i/>
          <w:iCs/>
          <w:lang w:val="pt-PT" w:eastAsia="pt-PT"/>
        </w:rPr>
        <w:t xml:space="preserve"> </w:t>
      </w:r>
      <w:proofErr w:type="spellStart"/>
      <w:r w:rsidR="0063387D" w:rsidRPr="00FF7074">
        <w:rPr>
          <w:rFonts w:eastAsia="Verdana" w:cs="Verdana"/>
          <w:i/>
          <w:iCs/>
          <w:lang w:val="pt-PT" w:eastAsia="pt-PT"/>
        </w:rPr>
        <w:t>Transfer</w:t>
      </w:r>
      <w:proofErr w:type="spellEnd"/>
      <w:r w:rsidR="0063387D" w:rsidRPr="00FF7074">
        <w:rPr>
          <w:rFonts w:eastAsia="Verdana" w:cs="Verdana"/>
          <w:i/>
          <w:iCs/>
          <w:lang w:val="pt-PT" w:eastAsia="pt-PT"/>
        </w:rPr>
        <w:t xml:space="preserve"> </w:t>
      </w:r>
      <w:proofErr w:type="spellStart"/>
      <w:r w:rsidR="0063387D" w:rsidRPr="00FF7074">
        <w:rPr>
          <w:rFonts w:eastAsia="Verdana" w:cs="Verdana"/>
          <w:i/>
          <w:iCs/>
          <w:lang w:val="pt-PT" w:eastAsia="pt-PT"/>
        </w:rPr>
        <w:t>Offices</w:t>
      </w:r>
      <w:proofErr w:type="spellEnd"/>
      <w:r w:rsidR="0063387D" w:rsidRPr="00FF7074">
        <w:rPr>
          <w:rFonts w:eastAsia="Verdana" w:cs="Verdana"/>
          <w:lang w:val="pt-PT" w:eastAsia="pt-PT"/>
        </w:rPr>
        <w:t xml:space="preserve"> – TTO)</w:t>
      </w:r>
      <w:r w:rsidRPr="00FF7074">
        <w:rPr>
          <w:rFonts w:eastAsia="Verdana" w:cs="Verdana"/>
          <w:color w:val="auto"/>
          <w:kern w:val="0"/>
          <w:lang w:val="pt-PT" w:eastAsia="pt-PT"/>
        </w:rPr>
        <w:t xml:space="preserve"> ou uma </w:t>
      </w:r>
      <w:r w:rsidR="0063387D">
        <w:rPr>
          <w:rFonts w:eastAsia="Verdana" w:cs="Verdana"/>
          <w:color w:val="auto"/>
          <w:kern w:val="0"/>
          <w:lang w:val="pt-PT" w:eastAsia="pt-PT"/>
        </w:rPr>
        <w:t xml:space="preserve">infraestrutura tecnológica </w:t>
      </w:r>
      <w:r w:rsidRPr="00FF7074">
        <w:rPr>
          <w:rFonts w:eastAsia="Verdana" w:cs="Verdana"/>
          <w:color w:val="auto"/>
          <w:kern w:val="0"/>
          <w:lang w:val="pt-PT" w:eastAsia="pt-PT"/>
        </w:rPr>
        <w:t xml:space="preserve">similar dedicada à gestão e promoção da transferência de tecnologia. Esses escritórios atuam como intermediários entre a academia e o setor empresarial, facilitando o licenciamento de tecnologias, a criação de </w:t>
      </w:r>
      <w:proofErr w:type="spellStart"/>
      <w:r w:rsidRPr="00FF7074">
        <w:rPr>
          <w:rFonts w:eastAsia="Verdana" w:cs="Verdana"/>
          <w:color w:val="auto"/>
          <w:kern w:val="0"/>
          <w:lang w:val="pt-PT" w:eastAsia="pt-PT"/>
        </w:rPr>
        <w:t>spin-offs</w:t>
      </w:r>
      <w:proofErr w:type="spellEnd"/>
      <w:r w:rsidRPr="00FF7074">
        <w:rPr>
          <w:rFonts w:eastAsia="Verdana" w:cs="Verdana"/>
          <w:color w:val="auto"/>
          <w:kern w:val="0"/>
          <w:lang w:val="pt-PT" w:eastAsia="pt-PT"/>
        </w:rPr>
        <w:t xml:space="preserve"> e outras formas de colaboração.</w:t>
      </w:r>
    </w:p>
    <w:p w14:paraId="55C1BDD2" w14:textId="77777777" w:rsidR="00947640" w:rsidRPr="00FF7074" w:rsidRDefault="00947640" w:rsidP="00877A29">
      <w:pPr>
        <w:pStyle w:val="PargrafodaLista"/>
        <w:ind w:left="0" w:firstLine="0"/>
        <w:rPr>
          <w:rFonts w:eastAsia="Verdana" w:cs="Verdana"/>
          <w:color w:val="auto"/>
          <w:kern w:val="0"/>
          <w:sz w:val="4"/>
          <w:szCs w:val="4"/>
          <w:lang w:val="pt-PT" w:eastAsia="pt-PT"/>
        </w:rPr>
      </w:pPr>
    </w:p>
    <w:p w14:paraId="049BFF54" w14:textId="1E951A55" w:rsidR="00947640" w:rsidRPr="00FF7074" w:rsidRDefault="00947640" w:rsidP="00877A29">
      <w:pPr>
        <w:pStyle w:val="PargrafodaLista"/>
        <w:ind w:left="0" w:firstLine="0"/>
        <w:rPr>
          <w:rFonts w:eastAsia="Verdana" w:cs="Verdana"/>
          <w:color w:val="auto"/>
          <w:kern w:val="0"/>
          <w:lang w:val="pt-PT" w:eastAsia="pt-PT"/>
        </w:rPr>
      </w:pPr>
      <w:r w:rsidRPr="00FF7074">
        <w:rPr>
          <w:rFonts w:eastAsia="Verdana" w:cs="Verdana"/>
          <w:b/>
          <w:bCs/>
          <w:color w:val="auto"/>
          <w:kern w:val="0"/>
          <w:lang w:val="pt-PT" w:eastAsia="pt-PT"/>
        </w:rPr>
        <w:t>Patentes e Propriedade Intelectual</w:t>
      </w:r>
      <w:r w:rsidRPr="00FF7074">
        <w:rPr>
          <w:rFonts w:eastAsia="Verdana" w:cs="Verdana"/>
          <w:color w:val="auto"/>
          <w:kern w:val="0"/>
          <w:lang w:val="pt-PT" w:eastAsia="pt-PT"/>
        </w:rPr>
        <w:t xml:space="preserve">: As universidades incentivam a proteção da propriedade intelectual, por meio da obtenção de patentes e outros direitos de propriedade intelectual, para as inovações desenvolvidas por seus </w:t>
      </w:r>
      <w:r w:rsidR="00ED640B">
        <w:rPr>
          <w:rFonts w:eastAsia="Verdana" w:cs="Verdana"/>
          <w:color w:val="auto"/>
          <w:kern w:val="0"/>
          <w:lang w:val="pt-PT" w:eastAsia="pt-PT"/>
        </w:rPr>
        <w:t>investigadores</w:t>
      </w:r>
      <w:r w:rsidRPr="00FF7074">
        <w:rPr>
          <w:rFonts w:eastAsia="Verdana" w:cs="Verdana"/>
          <w:color w:val="auto"/>
          <w:kern w:val="0"/>
          <w:lang w:val="pt-PT" w:eastAsia="pt-PT"/>
        </w:rPr>
        <w:t xml:space="preserve">. </w:t>
      </w:r>
      <w:r w:rsidR="001C5591">
        <w:rPr>
          <w:rFonts w:eastAsia="Verdana" w:cs="Verdana"/>
          <w:color w:val="auto"/>
          <w:kern w:val="0"/>
          <w:lang w:val="pt-PT" w:eastAsia="pt-PT"/>
        </w:rPr>
        <w:t>Existe um incentivo forte para</w:t>
      </w:r>
      <w:r w:rsidR="00F4083D">
        <w:rPr>
          <w:rFonts w:eastAsia="Verdana" w:cs="Verdana"/>
          <w:color w:val="auto"/>
          <w:kern w:val="0"/>
          <w:lang w:val="pt-PT" w:eastAsia="pt-PT"/>
        </w:rPr>
        <w:t xml:space="preserve"> o licenciamento</w:t>
      </w:r>
      <w:r w:rsidR="00ED640B">
        <w:rPr>
          <w:rFonts w:eastAsia="Verdana" w:cs="Verdana"/>
          <w:color w:val="auto"/>
          <w:kern w:val="0"/>
          <w:lang w:val="pt-PT" w:eastAsia="pt-PT"/>
        </w:rPr>
        <w:t>, muitas vezes em exclusividade,</w:t>
      </w:r>
      <w:r w:rsidR="00F4083D">
        <w:rPr>
          <w:rFonts w:eastAsia="Verdana" w:cs="Verdana"/>
          <w:color w:val="auto"/>
          <w:kern w:val="0"/>
          <w:lang w:val="pt-PT" w:eastAsia="pt-PT"/>
        </w:rPr>
        <w:t xml:space="preserve"> dos direitos de PI</w:t>
      </w:r>
      <w:r w:rsidRPr="00FF7074">
        <w:rPr>
          <w:rFonts w:eastAsia="Verdana" w:cs="Verdana"/>
          <w:color w:val="auto"/>
          <w:kern w:val="0"/>
          <w:lang w:val="pt-PT" w:eastAsia="pt-PT"/>
        </w:rPr>
        <w:t xml:space="preserve"> para </w:t>
      </w:r>
      <w:r w:rsidR="00ED640B">
        <w:rPr>
          <w:rFonts w:eastAsia="Verdana" w:cs="Verdana"/>
          <w:color w:val="auto"/>
          <w:kern w:val="0"/>
          <w:lang w:val="pt-PT" w:eastAsia="pt-PT"/>
        </w:rPr>
        <w:t xml:space="preserve">novas </w:t>
      </w:r>
      <w:r w:rsidRPr="00FF7074">
        <w:rPr>
          <w:rFonts w:eastAsia="Verdana" w:cs="Verdana"/>
          <w:color w:val="auto"/>
          <w:kern w:val="0"/>
          <w:lang w:val="pt-PT" w:eastAsia="pt-PT"/>
        </w:rPr>
        <w:t>empresas</w:t>
      </w:r>
      <w:r w:rsidR="00F4083D">
        <w:rPr>
          <w:rFonts w:eastAsia="Verdana" w:cs="Verdana"/>
          <w:color w:val="auto"/>
          <w:kern w:val="0"/>
          <w:lang w:val="pt-PT" w:eastAsia="pt-PT"/>
        </w:rPr>
        <w:t>,</w:t>
      </w:r>
      <w:r w:rsidR="001C5591">
        <w:rPr>
          <w:rFonts w:eastAsia="Verdana" w:cs="Verdana"/>
          <w:color w:val="auto"/>
          <w:kern w:val="0"/>
          <w:lang w:val="pt-PT" w:eastAsia="pt-PT"/>
        </w:rPr>
        <w:t xml:space="preserve"> </w:t>
      </w:r>
      <w:proofErr w:type="spellStart"/>
      <w:r w:rsidR="001C5591">
        <w:rPr>
          <w:rFonts w:eastAsia="Verdana" w:cs="Verdana"/>
          <w:color w:val="auto"/>
          <w:kern w:val="0"/>
          <w:lang w:val="pt-PT" w:eastAsia="pt-PT"/>
        </w:rPr>
        <w:t>Spin-off</w:t>
      </w:r>
      <w:proofErr w:type="spellEnd"/>
      <w:r w:rsidR="001C5591">
        <w:rPr>
          <w:rFonts w:eastAsia="Verdana" w:cs="Verdana"/>
          <w:color w:val="auto"/>
          <w:kern w:val="0"/>
          <w:lang w:val="pt-PT" w:eastAsia="pt-PT"/>
        </w:rPr>
        <w:t xml:space="preserve"> académicas</w:t>
      </w:r>
      <w:r w:rsidRPr="00FF7074">
        <w:rPr>
          <w:rFonts w:eastAsia="Verdana" w:cs="Verdana"/>
          <w:color w:val="auto"/>
          <w:kern w:val="0"/>
          <w:lang w:val="pt-PT" w:eastAsia="pt-PT"/>
        </w:rPr>
        <w:t>, permitindo que e</w:t>
      </w:r>
      <w:r w:rsidR="00F4083D">
        <w:rPr>
          <w:rFonts w:eastAsia="Verdana" w:cs="Verdana"/>
          <w:color w:val="auto"/>
          <w:kern w:val="0"/>
          <w:lang w:val="pt-PT" w:eastAsia="pt-PT"/>
        </w:rPr>
        <w:t>stas</w:t>
      </w:r>
      <w:r w:rsidRPr="00FF7074">
        <w:rPr>
          <w:rFonts w:eastAsia="Verdana" w:cs="Verdana"/>
          <w:color w:val="auto"/>
          <w:kern w:val="0"/>
          <w:lang w:val="pt-PT" w:eastAsia="pt-PT"/>
        </w:rPr>
        <w:t xml:space="preserve"> desenvolvam e comercializem </w:t>
      </w:r>
      <w:r w:rsidR="00EA2089">
        <w:rPr>
          <w:rFonts w:eastAsia="Verdana" w:cs="Verdana"/>
          <w:color w:val="auto"/>
          <w:kern w:val="0"/>
          <w:lang w:val="pt-PT" w:eastAsia="pt-PT"/>
        </w:rPr>
        <w:t xml:space="preserve">futuros </w:t>
      </w:r>
      <w:r w:rsidRPr="00FF7074">
        <w:rPr>
          <w:rFonts w:eastAsia="Verdana" w:cs="Verdana"/>
          <w:color w:val="auto"/>
          <w:kern w:val="0"/>
          <w:lang w:val="pt-PT" w:eastAsia="pt-PT"/>
        </w:rPr>
        <w:t xml:space="preserve">produtos </w:t>
      </w:r>
      <w:r w:rsidR="00EA2089">
        <w:rPr>
          <w:rFonts w:eastAsia="Verdana" w:cs="Verdana"/>
          <w:color w:val="auto"/>
          <w:kern w:val="0"/>
          <w:lang w:val="pt-PT" w:eastAsia="pt-PT"/>
        </w:rPr>
        <w:t>decorrentes dess</w:t>
      </w:r>
      <w:r w:rsidRPr="00FF7074">
        <w:rPr>
          <w:rFonts w:eastAsia="Verdana" w:cs="Verdana"/>
          <w:color w:val="auto"/>
          <w:kern w:val="0"/>
          <w:lang w:val="pt-PT" w:eastAsia="pt-PT"/>
        </w:rPr>
        <w:t>as tecnologias.</w:t>
      </w:r>
    </w:p>
    <w:p w14:paraId="6F9EEB6A" w14:textId="77777777" w:rsidR="00947640" w:rsidRPr="00FF7074" w:rsidRDefault="00947640" w:rsidP="00877A29">
      <w:pPr>
        <w:pStyle w:val="PargrafodaLista"/>
        <w:ind w:left="0" w:firstLine="0"/>
        <w:rPr>
          <w:rFonts w:eastAsia="Verdana" w:cs="Verdana"/>
          <w:color w:val="auto"/>
          <w:kern w:val="0"/>
          <w:sz w:val="4"/>
          <w:szCs w:val="4"/>
          <w:lang w:val="pt-PT" w:eastAsia="pt-PT"/>
        </w:rPr>
      </w:pPr>
    </w:p>
    <w:p w14:paraId="0A4F76AE" w14:textId="5CC43D4C" w:rsidR="00947640" w:rsidRDefault="00947640" w:rsidP="00877A29">
      <w:pPr>
        <w:pStyle w:val="PargrafodaLista"/>
        <w:ind w:left="0" w:firstLine="0"/>
        <w:rPr>
          <w:rFonts w:eastAsia="Verdana" w:cs="Verdana"/>
          <w:color w:val="auto"/>
          <w:kern w:val="0"/>
          <w:lang w:val="pt-PT" w:eastAsia="pt-PT"/>
        </w:rPr>
      </w:pPr>
      <w:r w:rsidRPr="00FF7074">
        <w:rPr>
          <w:rFonts w:eastAsia="Verdana" w:cs="Verdana"/>
          <w:b/>
          <w:bCs/>
          <w:color w:val="auto"/>
          <w:kern w:val="0"/>
          <w:lang w:val="pt-PT" w:eastAsia="pt-PT"/>
        </w:rPr>
        <w:t>Colaboração com Empresas</w:t>
      </w:r>
      <w:r w:rsidRPr="00FF7074">
        <w:rPr>
          <w:rFonts w:eastAsia="Verdana" w:cs="Verdana"/>
          <w:color w:val="auto"/>
          <w:kern w:val="0"/>
          <w:lang w:val="pt-PT" w:eastAsia="pt-PT"/>
        </w:rPr>
        <w:t>: As universidades portuguesas buscam estabelecer parcerias de pesquisa e desenvolvimento com empresas, visando a transferência de conhecimento e tecnologia. Essas colaborações podem envolver projetos conjuntos de pesquisa, contratos de consultoria, estágios em empresas para estudantes e outras formas de interação.</w:t>
      </w:r>
    </w:p>
    <w:p w14:paraId="12A938D6" w14:textId="77777777" w:rsidR="00750A7A" w:rsidRPr="00FF7074" w:rsidRDefault="00750A7A" w:rsidP="00877A29">
      <w:pPr>
        <w:pStyle w:val="PargrafodaLista"/>
        <w:ind w:left="0" w:firstLine="0"/>
        <w:rPr>
          <w:rFonts w:eastAsia="Verdana" w:cs="Verdana"/>
          <w:color w:val="auto"/>
          <w:kern w:val="0"/>
          <w:lang w:val="pt-PT" w:eastAsia="pt-PT"/>
        </w:rPr>
      </w:pPr>
    </w:p>
    <w:p w14:paraId="0442BB36" w14:textId="561B7D41" w:rsidR="00947640" w:rsidRPr="00FF7074" w:rsidRDefault="00947640" w:rsidP="00877A29">
      <w:pPr>
        <w:pStyle w:val="PargrafodaLista"/>
        <w:ind w:left="0" w:firstLine="0"/>
        <w:rPr>
          <w:rFonts w:eastAsia="Verdana" w:cs="Verdana"/>
          <w:color w:val="auto"/>
          <w:kern w:val="0"/>
          <w:lang w:val="pt-PT" w:eastAsia="pt-PT"/>
        </w:rPr>
      </w:pPr>
      <w:r w:rsidRPr="00FF7074">
        <w:rPr>
          <w:rFonts w:eastAsia="Verdana" w:cs="Verdana"/>
          <w:b/>
          <w:bCs/>
          <w:color w:val="auto"/>
          <w:kern w:val="0"/>
          <w:lang w:val="pt-PT" w:eastAsia="pt-PT"/>
        </w:rPr>
        <w:lastRenderedPageBreak/>
        <w:t xml:space="preserve">Criação de Empresas </w:t>
      </w:r>
      <w:proofErr w:type="spellStart"/>
      <w:r w:rsidRPr="00FF7074">
        <w:rPr>
          <w:rFonts w:eastAsia="Verdana" w:cs="Verdana"/>
          <w:b/>
          <w:bCs/>
          <w:color w:val="auto"/>
          <w:kern w:val="0"/>
          <w:lang w:val="pt-PT" w:eastAsia="pt-PT"/>
        </w:rPr>
        <w:t>Spin-off</w:t>
      </w:r>
      <w:proofErr w:type="spellEnd"/>
      <w:r w:rsidRPr="00FF7074">
        <w:rPr>
          <w:rFonts w:eastAsia="Verdana" w:cs="Verdana"/>
          <w:color w:val="auto"/>
          <w:kern w:val="0"/>
          <w:lang w:val="pt-PT" w:eastAsia="pt-PT"/>
        </w:rPr>
        <w:t xml:space="preserve">: As universidades em Portugal têm incentivado cada vez mais a criação de empresas </w:t>
      </w:r>
      <w:proofErr w:type="spellStart"/>
      <w:r w:rsidRPr="00FF7074">
        <w:rPr>
          <w:rFonts w:eastAsia="Verdana" w:cs="Verdana"/>
          <w:color w:val="auto"/>
          <w:kern w:val="0"/>
          <w:lang w:val="pt-PT" w:eastAsia="pt-PT"/>
        </w:rPr>
        <w:t>spin-off</w:t>
      </w:r>
      <w:proofErr w:type="spellEnd"/>
      <w:r w:rsidRPr="00FF7074">
        <w:rPr>
          <w:rFonts w:eastAsia="Verdana" w:cs="Verdana"/>
          <w:color w:val="auto"/>
          <w:kern w:val="0"/>
          <w:lang w:val="pt-PT" w:eastAsia="pt-PT"/>
        </w:rPr>
        <w:t xml:space="preserve">, que são empresas de base tecnológica originadas a partir de pesquisas e tecnologias desenvolvidas dentro das instituições de ensino superior. Essas </w:t>
      </w:r>
      <w:proofErr w:type="spellStart"/>
      <w:r w:rsidRPr="00FF7074">
        <w:rPr>
          <w:rFonts w:eastAsia="Verdana" w:cs="Verdana"/>
          <w:color w:val="auto"/>
          <w:kern w:val="0"/>
          <w:lang w:val="pt-PT" w:eastAsia="pt-PT"/>
        </w:rPr>
        <w:t>spin-offs</w:t>
      </w:r>
      <w:proofErr w:type="spellEnd"/>
      <w:r w:rsidRPr="00FF7074">
        <w:rPr>
          <w:rFonts w:eastAsia="Verdana" w:cs="Verdana"/>
          <w:color w:val="auto"/>
          <w:kern w:val="0"/>
          <w:lang w:val="pt-PT" w:eastAsia="pt-PT"/>
        </w:rPr>
        <w:t xml:space="preserve"> recebem apoio institucional para sua criação e desenvolvimento, incluindo acesso a infraestrutura, mentoria e recursos financeiros</w:t>
      </w:r>
      <w:r w:rsidR="00877A29" w:rsidRPr="00FF7074">
        <w:rPr>
          <w:rFonts w:eastAsia="Verdana" w:cs="Verdana"/>
          <w:color w:val="auto"/>
          <w:kern w:val="0"/>
          <w:lang w:val="pt-PT" w:eastAsia="pt-PT"/>
        </w:rPr>
        <w:t>.</w:t>
      </w:r>
    </w:p>
    <w:p w14:paraId="79966183" w14:textId="77777777" w:rsidR="00877A29" w:rsidRPr="00FF7074" w:rsidRDefault="00877A29" w:rsidP="00877A29">
      <w:pPr>
        <w:pStyle w:val="PargrafodaLista"/>
        <w:ind w:left="0" w:firstLine="0"/>
        <w:rPr>
          <w:rFonts w:eastAsia="Verdana" w:cs="Verdana"/>
          <w:color w:val="auto"/>
          <w:kern w:val="0"/>
          <w:sz w:val="4"/>
          <w:szCs w:val="4"/>
          <w:lang w:val="pt-PT" w:eastAsia="pt-PT"/>
        </w:rPr>
      </w:pPr>
    </w:p>
    <w:p w14:paraId="6AF832A0" w14:textId="660FC10C" w:rsidR="00BA6BDD" w:rsidRPr="00FF7074" w:rsidRDefault="00947640" w:rsidP="00877A29">
      <w:pPr>
        <w:pStyle w:val="PargrafodaLista"/>
        <w:ind w:left="0" w:firstLine="0"/>
        <w:rPr>
          <w:lang w:val="pt-PT"/>
        </w:rPr>
      </w:pPr>
      <w:r w:rsidRPr="00FF7074">
        <w:rPr>
          <w:rFonts w:eastAsia="Verdana" w:cs="Verdana"/>
          <w:b/>
          <w:bCs/>
          <w:color w:val="auto"/>
          <w:kern w:val="0"/>
          <w:lang w:val="pt-PT" w:eastAsia="pt-PT"/>
        </w:rPr>
        <w:t>Programas de Financiamento</w:t>
      </w:r>
      <w:r w:rsidRPr="00FF7074">
        <w:rPr>
          <w:rFonts w:eastAsia="Verdana" w:cs="Verdana"/>
          <w:color w:val="auto"/>
          <w:kern w:val="0"/>
          <w:lang w:val="pt-PT" w:eastAsia="pt-PT"/>
        </w:rPr>
        <w:t>: Existem diversos programas de financiamento disponíveis em Portugal, tanto a nível nacional como europeu</w:t>
      </w:r>
      <w:r w:rsidR="00CB0026">
        <w:rPr>
          <w:rFonts w:eastAsia="Verdana" w:cs="Verdana"/>
          <w:color w:val="auto"/>
          <w:kern w:val="0"/>
          <w:lang w:val="pt-PT" w:eastAsia="pt-PT"/>
        </w:rPr>
        <w:t xml:space="preserve"> (ver </w:t>
      </w:r>
      <w:r w:rsidR="003453D9">
        <w:rPr>
          <w:rFonts w:eastAsia="Verdana" w:cs="Verdana"/>
          <w:color w:val="auto"/>
          <w:kern w:val="0"/>
          <w:lang w:val="pt-PT" w:eastAsia="pt-PT"/>
        </w:rPr>
        <w:t>ponto 1.1)</w:t>
      </w:r>
      <w:r w:rsidRPr="00FF7074">
        <w:rPr>
          <w:rFonts w:eastAsia="Verdana" w:cs="Verdana"/>
          <w:color w:val="auto"/>
          <w:kern w:val="0"/>
          <w:lang w:val="pt-PT" w:eastAsia="pt-PT"/>
        </w:rPr>
        <w:t>, que visam apoiar a transferência de tecnologia e a colaboração entre universidades e empresas. Esses programas oferecem financiamento para projetos de pesquisa conjuntos, desenvolvimento de protótipos</w:t>
      </w:r>
      <w:r w:rsidR="00136535">
        <w:rPr>
          <w:rFonts w:eastAsia="Verdana" w:cs="Verdana"/>
          <w:color w:val="auto"/>
          <w:kern w:val="0"/>
          <w:lang w:val="pt-PT" w:eastAsia="pt-PT"/>
        </w:rPr>
        <w:t xml:space="preserve"> e a</w:t>
      </w:r>
      <w:r w:rsidRPr="00FF7074">
        <w:rPr>
          <w:rFonts w:eastAsia="Verdana" w:cs="Verdana"/>
          <w:color w:val="auto"/>
          <w:kern w:val="0"/>
          <w:lang w:val="pt-PT" w:eastAsia="pt-PT"/>
        </w:rPr>
        <w:t xml:space="preserve"> atividades de transferência de tecnologia.</w:t>
      </w:r>
    </w:p>
    <w:p w14:paraId="21772D9D" w14:textId="0454413C" w:rsidR="001B1ECD" w:rsidRPr="00FF7074" w:rsidRDefault="001B1ECD" w:rsidP="001B1ECD">
      <w:pPr>
        <w:pStyle w:val="Ttulo1"/>
        <w:spacing w:line="288" w:lineRule="auto"/>
      </w:pPr>
      <w:bookmarkStart w:id="48" w:name="_Toc138420943"/>
      <w:r w:rsidRPr="00FF7074">
        <w:t xml:space="preserve">MANUAL </w:t>
      </w:r>
      <w:r w:rsidR="00AE2B2D" w:rsidRPr="00FF7074">
        <w:t>DE</w:t>
      </w:r>
      <w:r w:rsidRPr="00FF7074">
        <w:t xml:space="preserve"> TRANSFERÊNCIA DE </w:t>
      </w:r>
      <w:r w:rsidR="00AE2B2D" w:rsidRPr="00FF7074">
        <w:t>TECNOLOGIA</w:t>
      </w:r>
      <w:bookmarkEnd w:id="48"/>
    </w:p>
    <w:p w14:paraId="58F4A7BD" w14:textId="168C01BB" w:rsidR="007E6AFA" w:rsidRPr="00FF7074" w:rsidRDefault="007E6AFA" w:rsidP="003453B8">
      <w:pPr>
        <w:pStyle w:val="Ttulo2"/>
      </w:pPr>
      <w:bookmarkStart w:id="49" w:name="_Toc138420944"/>
      <w:r w:rsidRPr="00FF7074">
        <w:t>Gestão de projetos de I&amp;D e divulgação interna</w:t>
      </w:r>
      <w:bookmarkEnd w:id="49"/>
    </w:p>
    <w:p w14:paraId="3E013F78" w14:textId="015D7539" w:rsidR="00196EE9" w:rsidRPr="00FF7074" w:rsidRDefault="00196EE9" w:rsidP="00196EE9">
      <w:pPr>
        <w:suppressAutoHyphens/>
        <w:ind w:firstLine="0"/>
        <w:rPr>
          <w:rFonts w:eastAsia="Verdana" w:cs="Verdana"/>
          <w:color w:val="000000"/>
          <w:kern w:val="28"/>
          <w:lang w:val="pt-PT" w:eastAsia="pt-PT"/>
        </w:rPr>
      </w:pPr>
      <w:r w:rsidRPr="00FF7074">
        <w:rPr>
          <w:rFonts w:eastAsia="Verdana" w:cs="Verdana"/>
          <w:color w:val="000000"/>
          <w:kern w:val="28"/>
          <w:lang w:val="pt-PT" w:eastAsia="pt-PT"/>
        </w:rPr>
        <w:t xml:space="preserve">A gestão de </w:t>
      </w:r>
      <w:r w:rsidR="00136535" w:rsidRPr="00FF7074">
        <w:rPr>
          <w:rFonts w:eastAsia="Verdana" w:cs="Verdana"/>
          <w:color w:val="000000"/>
          <w:kern w:val="28"/>
          <w:lang w:val="pt-PT" w:eastAsia="pt-PT"/>
        </w:rPr>
        <w:t>projetos</w:t>
      </w:r>
      <w:r w:rsidRPr="00FF7074">
        <w:rPr>
          <w:rFonts w:eastAsia="Verdana" w:cs="Verdana"/>
          <w:color w:val="000000"/>
          <w:kern w:val="28"/>
          <w:lang w:val="pt-PT" w:eastAsia="pt-PT"/>
        </w:rPr>
        <w:t xml:space="preserve"> de I&amp;D refere-se à gestão de </w:t>
      </w:r>
      <w:r w:rsidR="00136535" w:rsidRPr="00FF7074">
        <w:rPr>
          <w:rFonts w:eastAsia="Verdana" w:cs="Verdana"/>
          <w:color w:val="000000"/>
          <w:kern w:val="28"/>
          <w:lang w:val="pt-PT" w:eastAsia="pt-PT"/>
        </w:rPr>
        <w:t>projetos</w:t>
      </w:r>
      <w:r w:rsidRPr="00FF7074">
        <w:rPr>
          <w:rFonts w:eastAsia="Verdana" w:cs="Verdana"/>
          <w:color w:val="000000"/>
          <w:kern w:val="28"/>
          <w:lang w:val="pt-PT" w:eastAsia="pt-PT"/>
        </w:rPr>
        <w:t xml:space="preserve"> de investigação e desenvolvimento para assegurar a sua execução com êxito, desde o início até à conclusão. A gestão de </w:t>
      </w:r>
      <w:r w:rsidR="00136535" w:rsidRPr="00FF7074">
        <w:rPr>
          <w:rFonts w:eastAsia="Verdana" w:cs="Verdana"/>
          <w:color w:val="000000"/>
          <w:kern w:val="28"/>
          <w:lang w:val="pt-PT" w:eastAsia="pt-PT"/>
        </w:rPr>
        <w:t>projetos</w:t>
      </w:r>
      <w:r w:rsidRPr="00FF7074">
        <w:rPr>
          <w:rFonts w:eastAsia="Verdana" w:cs="Verdana"/>
          <w:color w:val="000000"/>
          <w:kern w:val="28"/>
          <w:lang w:val="pt-PT" w:eastAsia="pt-PT"/>
        </w:rPr>
        <w:t xml:space="preserve"> de I&amp;D implica supervisionar o planeamento, a coordenação, a execução e o acompanhamento de </w:t>
      </w:r>
      <w:r w:rsidR="00136535" w:rsidRPr="00FF7074">
        <w:rPr>
          <w:rFonts w:eastAsia="Verdana" w:cs="Verdana"/>
          <w:color w:val="000000"/>
          <w:kern w:val="28"/>
          <w:lang w:val="pt-PT" w:eastAsia="pt-PT"/>
        </w:rPr>
        <w:t>atividades</w:t>
      </w:r>
      <w:r w:rsidRPr="00FF7074">
        <w:rPr>
          <w:rFonts w:eastAsia="Verdana" w:cs="Verdana"/>
          <w:color w:val="000000"/>
          <w:kern w:val="28"/>
          <w:lang w:val="pt-PT" w:eastAsia="pt-PT"/>
        </w:rPr>
        <w:t xml:space="preserve"> destinadas a atingir </w:t>
      </w:r>
      <w:r w:rsidR="00136535" w:rsidRPr="00FF7074">
        <w:rPr>
          <w:rFonts w:eastAsia="Verdana" w:cs="Verdana"/>
          <w:color w:val="000000"/>
          <w:kern w:val="28"/>
          <w:lang w:val="pt-PT" w:eastAsia="pt-PT"/>
        </w:rPr>
        <w:t>objetivos</w:t>
      </w:r>
      <w:r w:rsidRPr="00FF7074">
        <w:rPr>
          <w:rFonts w:eastAsia="Verdana" w:cs="Verdana"/>
          <w:color w:val="000000"/>
          <w:kern w:val="28"/>
          <w:lang w:val="pt-PT" w:eastAsia="pt-PT"/>
        </w:rPr>
        <w:t xml:space="preserve"> específicos de investigação e desenvolvimento.</w:t>
      </w:r>
      <w:r w:rsidR="00F737FE" w:rsidRPr="00FF7074">
        <w:rPr>
          <w:rFonts w:eastAsia="Verdana" w:cs="Verdana"/>
          <w:color w:val="000000"/>
          <w:kern w:val="28"/>
          <w:lang w:val="pt-PT" w:eastAsia="pt-PT"/>
        </w:rPr>
        <w:t xml:space="preserve"> Neste </w:t>
      </w:r>
      <w:r w:rsidR="00136535" w:rsidRPr="00FF7074">
        <w:rPr>
          <w:rFonts w:eastAsia="Verdana" w:cs="Verdana"/>
          <w:color w:val="000000"/>
          <w:kern w:val="28"/>
          <w:lang w:val="pt-PT" w:eastAsia="pt-PT"/>
        </w:rPr>
        <w:t>sentido</w:t>
      </w:r>
      <w:r w:rsidR="00F737FE" w:rsidRPr="00FF7074">
        <w:rPr>
          <w:rFonts w:eastAsia="Verdana" w:cs="Verdana"/>
          <w:color w:val="000000"/>
          <w:kern w:val="28"/>
          <w:lang w:val="pt-PT" w:eastAsia="pt-PT"/>
        </w:rPr>
        <w:t>, a</w:t>
      </w:r>
      <w:r w:rsidRPr="00FF7074">
        <w:rPr>
          <w:rFonts w:eastAsia="Verdana" w:cs="Verdana"/>
          <w:color w:val="000000"/>
          <w:kern w:val="28"/>
          <w:lang w:val="pt-PT" w:eastAsia="pt-PT"/>
        </w:rPr>
        <w:t xml:space="preserve"> gestão de </w:t>
      </w:r>
      <w:r w:rsidR="00136535" w:rsidRPr="00FF7074">
        <w:rPr>
          <w:rFonts w:eastAsia="Verdana" w:cs="Verdana"/>
          <w:color w:val="000000"/>
          <w:kern w:val="28"/>
          <w:lang w:val="pt-PT" w:eastAsia="pt-PT"/>
        </w:rPr>
        <w:t>projetos</w:t>
      </w:r>
      <w:r w:rsidRPr="00FF7074">
        <w:rPr>
          <w:rFonts w:eastAsia="Verdana" w:cs="Verdana"/>
          <w:color w:val="000000"/>
          <w:kern w:val="28"/>
          <w:lang w:val="pt-PT" w:eastAsia="pt-PT"/>
        </w:rPr>
        <w:t xml:space="preserve"> pode ser dividida nas seguintes fases</w:t>
      </w:r>
    </w:p>
    <w:p w14:paraId="50ECC64B" w14:textId="69163E7A" w:rsidR="00196EE9" w:rsidRPr="00FF7074" w:rsidRDefault="00196EE9" w:rsidP="00196EE9">
      <w:pPr>
        <w:suppressAutoHyphens/>
        <w:ind w:firstLine="0"/>
        <w:rPr>
          <w:rFonts w:eastAsia="Verdana" w:cs="Verdana"/>
          <w:color w:val="000000"/>
          <w:kern w:val="28"/>
          <w:lang w:val="pt-PT" w:eastAsia="pt-PT"/>
        </w:rPr>
      </w:pPr>
      <w:r w:rsidRPr="00FF7074">
        <w:rPr>
          <w:rFonts w:eastAsia="Verdana" w:cs="Verdana"/>
          <w:b/>
          <w:bCs/>
          <w:color w:val="000000"/>
          <w:kern w:val="28"/>
          <w:lang w:val="pt-PT" w:eastAsia="pt-PT"/>
        </w:rPr>
        <w:t>Fase de iniciação</w:t>
      </w:r>
      <w:r w:rsidRPr="00FF7074">
        <w:rPr>
          <w:rFonts w:eastAsia="Verdana" w:cs="Verdana"/>
          <w:color w:val="000000"/>
          <w:kern w:val="28"/>
          <w:lang w:val="pt-PT" w:eastAsia="pt-PT"/>
        </w:rPr>
        <w:t xml:space="preserve">. Na fase de iniciação, o projeto deve ser claramente definido, incluindo os </w:t>
      </w:r>
      <w:r w:rsidR="00136535" w:rsidRPr="00FF7074">
        <w:rPr>
          <w:rFonts w:eastAsia="Verdana" w:cs="Verdana"/>
          <w:color w:val="000000"/>
          <w:kern w:val="28"/>
          <w:lang w:val="pt-PT" w:eastAsia="pt-PT"/>
        </w:rPr>
        <w:t>objetivos</w:t>
      </w:r>
      <w:r w:rsidRPr="00FF7074">
        <w:rPr>
          <w:rFonts w:eastAsia="Verdana" w:cs="Verdana"/>
          <w:color w:val="000000"/>
          <w:kern w:val="28"/>
          <w:lang w:val="pt-PT" w:eastAsia="pt-PT"/>
        </w:rPr>
        <w:t xml:space="preserve"> esperados, o âmbito e os recursos do projeto e o papel de cada membro da equipa necessário. Esclarecer quais são as expectativas do projeto, e o que exatamente o projeto pretende alcançar (e porquê) dará ao projeto e à equipa uma direção clara. Nesta fase, é necessário comunicar com os investidores ou patrocinadores do projeto e compreender os resultados desejados, definir </w:t>
      </w:r>
      <w:r w:rsidR="00136535" w:rsidRPr="00FF7074">
        <w:rPr>
          <w:rFonts w:eastAsia="Verdana" w:cs="Verdana"/>
          <w:color w:val="000000"/>
          <w:kern w:val="28"/>
          <w:lang w:val="pt-PT" w:eastAsia="pt-PT"/>
        </w:rPr>
        <w:t>objetivos</w:t>
      </w:r>
      <w:r w:rsidRPr="00FF7074">
        <w:rPr>
          <w:rFonts w:eastAsia="Verdana" w:cs="Verdana"/>
          <w:color w:val="000000"/>
          <w:kern w:val="28"/>
          <w:lang w:val="pt-PT" w:eastAsia="pt-PT"/>
        </w:rPr>
        <w:t xml:space="preserve"> SMART (Específicos, Mensuráveis, Atingíveis, Relevantes e Temporais), clarificar recursos como orçamento e pessoas, definir papéis e determinar pontos de controlo para o projeto.</w:t>
      </w:r>
    </w:p>
    <w:p w14:paraId="26801413" w14:textId="477C7E1B" w:rsidR="00196EE9" w:rsidRPr="00FF7074" w:rsidRDefault="00196EE9" w:rsidP="00196EE9">
      <w:pPr>
        <w:suppressAutoHyphens/>
        <w:ind w:firstLine="0"/>
        <w:rPr>
          <w:rFonts w:eastAsia="Verdana" w:cs="Verdana"/>
          <w:color w:val="000000"/>
          <w:kern w:val="28"/>
          <w:lang w:val="pt-PT" w:eastAsia="pt-PT"/>
        </w:rPr>
      </w:pPr>
      <w:r w:rsidRPr="00FF7074">
        <w:rPr>
          <w:rFonts w:eastAsia="Verdana" w:cs="Verdana"/>
          <w:color w:val="000000"/>
          <w:kern w:val="28"/>
          <w:lang w:val="pt-PT" w:eastAsia="pt-PT"/>
        </w:rPr>
        <w:t xml:space="preserve">Esta é uma fase crucial para o sucesso do projeto, pois sem clareza sobre o que é necessário alcançar e porquê, o projeto corre o risco de não atingir os </w:t>
      </w:r>
      <w:r w:rsidR="00136535" w:rsidRPr="00FF7074">
        <w:rPr>
          <w:rFonts w:eastAsia="Verdana" w:cs="Verdana"/>
          <w:color w:val="000000"/>
          <w:kern w:val="28"/>
          <w:lang w:val="pt-PT" w:eastAsia="pt-PT"/>
        </w:rPr>
        <w:t>objetivos</w:t>
      </w:r>
      <w:r w:rsidRPr="00FF7074">
        <w:rPr>
          <w:rFonts w:eastAsia="Verdana" w:cs="Verdana"/>
          <w:color w:val="000000"/>
          <w:kern w:val="28"/>
          <w:lang w:val="pt-PT" w:eastAsia="pt-PT"/>
        </w:rPr>
        <w:t xml:space="preserve"> finais.</w:t>
      </w:r>
    </w:p>
    <w:p w14:paraId="1A8ED4CD" w14:textId="7E312F4B" w:rsidR="00196EE9" w:rsidRPr="00FF7074" w:rsidRDefault="00196EE9" w:rsidP="00196EE9">
      <w:pPr>
        <w:suppressAutoHyphens/>
        <w:ind w:firstLine="0"/>
        <w:rPr>
          <w:rFonts w:eastAsia="Verdana" w:cs="Verdana"/>
          <w:color w:val="000000"/>
          <w:kern w:val="28"/>
          <w:lang w:val="pt-PT" w:eastAsia="pt-PT"/>
        </w:rPr>
      </w:pPr>
      <w:r w:rsidRPr="00FF7074">
        <w:rPr>
          <w:rFonts w:eastAsia="Verdana" w:cs="Verdana"/>
          <w:b/>
          <w:bCs/>
          <w:color w:val="000000"/>
          <w:kern w:val="28"/>
          <w:lang w:val="pt-PT" w:eastAsia="pt-PT"/>
        </w:rPr>
        <w:t>Fase de planeamento</w:t>
      </w:r>
      <w:r w:rsidRPr="00FF7074">
        <w:rPr>
          <w:rFonts w:eastAsia="Verdana" w:cs="Verdana"/>
          <w:color w:val="000000"/>
          <w:kern w:val="28"/>
          <w:lang w:val="pt-PT" w:eastAsia="pt-PT"/>
        </w:rPr>
        <w:t xml:space="preserve">. Na fase de planeamento, é necessário determinar os passos para atingir os </w:t>
      </w:r>
      <w:r w:rsidR="00136535" w:rsidRPr="00FF7074">
        <w:rPr>
          <w:rFonts w:eastAsia="Verdana" w:cs="Verdana"/>
          <w:color w:val="000000"/>
          <w:kern w:val="28"/>
          <w:lang w:val="pt-PT" w:eastAsia="pt-PT"/>
        </w:rPr>
        <w:t>objetivos</w:t>
      </w:r>
      <w:r w:rsidRPr="00FF7074">
        <w:rPr>
          <w:rFonts w:eastAsia="Verdana" w:cs="Verdana"/>
          <w:color w:val="000000"/>
          <w:kern w:val="28"/>
          <w:lang w:val="pt-PT" w:eastAsia="pt-PT"/>
        </w:rPr>
        <w:t xml:space="preserve"> do projeto. É necessário estabelecer orçamentos, prazos, marcos, materiais de origem e documentos necessários. Esta etapa também envolve o cálculo e a previsão de riscos, a implementação de processos de mudança e a definição de protocolos </w:t>
      </w:r>
      <w:r w:rsidRPr="00FF7074">
        <w:rPr>
          <w:rFonts w:eastAsia="Verdana" w:cs="Verdana"/>
          <w:color w:val="000000"/>
          <w:kern w:val="28"/>
          <w:lang w:val="pt-PT" w:eastAsia="pt-PT"/>
        </w:rPr>
        <w:lastRenderedPageBreak/>
        <w:t xml:space="preserve">de comunicação. Nesta fase, podem ser criados </w:t>
      </w:r>
      <w:proofErr w:type="spellStart"/>
      <w:r w:rsidRPr="00FF7074">
        <w:rPr>
          <w:rFonts w:eastAsia="Verdana" w:cs="Verdana"/>
          <w:color w:val="000000"/>
          <w:kern w:val="28"/>
          <w:lang w:val="pt-PT" w:eastAsia="pt-PT"/>
        </w:rPr>
        <w:t>NDAs</w:t>
      </w:r>
      <w:proofErr w:type="spellEnd"/>
      <w:r w:rsidRPr="00FF7074">
        <w:rPr>
          <w:rFonts w:eastAsia="Verdana" w:cs="Verdana"/>
          <w:color w:val="000000"/>
          <w:kern w:val="28"/>
          <w:lang w:val="pt-PT" w:eastAsia="pt-PT"/>
        </w:rPr>
        <w:t xml:space="preserve"> e RFP. O fim do planeamento é marcado por uma reunião de lançamento.</w:t>
      </w:r>
    </w:p>
    <w:p w14:paraId="5302CFFE" w14:textId="06C12564" w:rsidR="006E59DE" w:rsidRPr="00FF7074" w:rsidRDefault="00196EE9" w:rsidP="00196EE9">
      <w:pPr>
        <w:suppressAutoHyphens/>
        <w:ind w:firstLine="0"/>
        <w:rPr>
          <w:rFonts w:eastAsia="Verdana" w:cs="Verdana"/>
          <w:color w:val="000000"/>
          <w:kern w:val="28"/>
          <w:lang w:val="pt-PT" w:eastAsia="pt-PT"/>
        </w:rPr>
      </w:pPr>
      <w:r w:rsidRPr="00FF7074">
        <w:rPr>
          <w:rFonts w:eastAsia="Verdana" w:cs="Verdana"/>
          <w:b/>
          <w:bCs/>
          <w:color w:val="000000"/>
          <w:kern w:val="28"/>
          <w:lang w:val="pt-PT" w:eastAsia="pt-PT"/>
        </w:rPr>
        <w:t>Executar e concluir tarefas</w:t>
      </w:r>
      <w:r w:rsidRPr="00FF7074">
        <w:rPr>
          <w:rFonts w:eastAsia="Verdana" w:cs="Verdana"/>
          <w:color w:val="000000"/>
          <w:kern w:val="28"/>
          <w:lang w:val="pt-PT" w:eastAsia="pt-PT"/>
        </w:rPr>
        <w:t xml:space="preserve">. Durante esta fase, é necessário manter o plano de ação no bom caminho, o que significa acompanhar e medir o progresso, gerir a qualidade, mitigar os riscos, gerir o orçamento e verificar o estado do projeto. Os gráficos GANTT e </w:t>
      </w:r>
      <w:proofErr w:type="spellStart"/>
      <w:r w:rsidRPr="00FF7074">
        <w:rPr>
          <w:rFonts w:eastAsia="Verdana" w:cs="Verdana"/>
          <w:color w:val="000000"/>
          <w:kern w:val="28"/>
          <w:lang w:val="pt-PT" w:eastAsia="pt-PT"/>
        </w:rPr>
        <w:t>bu</w:t>
      </w:r>
      <w:r w:rsidR="00C71AE2" w:rsidRPr="00FF7074">
        <w:rPr>
          <w:rFonts w:eastAsia="Verdana" w:cs="Verdana"/>
          <w:color w:val="000000"/>
          <w:kern w:val="28"/>
          <w:lang w:val="pt-PT" w:eastAsia="pt-PT"/>
        </w:rPr>
        <w:t>r</w:t>
      </w:r>
      <w:r w:rsidRPr="00FF7074">
        <w:rPr>
          <w:rFonts w:eastAsia="Verdana" w:cs="Verdana"/>
          <w:color w:val="000000"/>
          <w:kern w:val="28"/>
          <w:lang w:val="pt-PT" w:eastAsia="pt-PT"/>
        </w:rPr>
        <w:t>ndown</w:t>
      </w:r>
      <w:proofErr w:type="spellEnd"/>
      <w:r w:rsidRPr="00FF7074">
        <w:rPr>
          <w:rFonts w:eastAsia="Verdana" w:cs="Verdana"/>
          <w:color w:val="000000"/>
          <w:kern w:val="28"/>
          <w:lang w:val="pt-PT" w:eastAsia="pt-PT"/>
        </w:rPr>
        <w:t xml:space="preserve"> podem ser utilizados para acompanhar o progresso das tarefas</w:t>
      </w:r>
      <w:r w:rsidR="00042D90" w:rsidRPr="00FF7074">
        <w:rPr>
          <w:rFonts w:eastAsia="Verdana" w:cs="Verdana"/>
          <w:color w:val="000000"/>
          <w:kern w:val="28"/>
          <w:lang w:val="pt-PT" w:eastAsia="pt-PT"/>
        </w:rPr>
        <w:t>.</w:t>
      </w:r>
    </w:p>
    <w:p w14:paraId="3E05BFAE" w14:textId="7D974721" w:rsidR="006E59DE" w:rsidRPr="00FF7074" w:rsidRDefault="006E59DE" w:rsidP="006E59DE">
      <w:pPr>
        <w:suppressAutoHyphens/>
        <w:ind w:firstLine="0"/>
        <w:jc w:val="center"/>
        <w:rPr>
          <w:lang w:val="pt-PT"/>
        </w:rPr>
      </w:pPr>
      <w:r w:rsidRPr="00FF7074">
        <w:rPr>
          <w:noProof/>
          <w:lang w:val="pt-PT"/>
        </w:rPr>
        <w:drawing>
          <wp:inline distT="0" distB="0" distL="0" distR="0" wp14:anchorId="2F90C3C9" wp14:editId="5FB3C72A">
            <wp:extent cx="5581015" cy="3348355"/>
            <wp:effectExtent l="0" t="0" r="635" b="4445"/>
            <wp:docPr id="1690414390" name="Imagem 16904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81015" cy="3348355"/>
                    </a:xfrm>
                    <a:prstGeom prst="rect">
                      <a:avLst/>
                    </a:prstGeom>
                    <a:noFill/>
                    <a:ln>
                      <a:noFill/>
                    </a:ln>
                  </pic:spPr>
                </pic:pic>
              </a:graphicData>
            </a:graphic>
          </wp:inline>
        </w:drawing>
      </w:r>
    </w:p>
    <w:p w14:paraId="7A399E8C" w14:textId="5A6B2BF5" w:rsidR="00353D92" w:rsidRPr="00FF7074" w:rsidRDefault="00353D92" w:rsidP="00353D92">
      <w:pPr>
        <w:spacing w:before="0" w:after="0"/>
        <w:ind w:firstLine="0"/>
        <w:jc w:val="center"/>
        <w:rPr>
          <w:rFonts w:eastAsia="Verdana" w:cs="Verdana"/>
          <w:i/>
          <w:color w:val="4B4F54" w:themeColor="text1"/>
          <w:sz w:val="18"/>
          <w:szCs w:val="18"/>
          <w:lang w:val="pt-PT" w:eastAsia="en-US"/>
        </w:rPr>
      </w:pPr>
      <w:r w:rsidRPr="00FF7074">
        <w:rPr>
          <w:rFonts w:eastAsia="Verdana" w:cs="Verdana"/>
          <w:i/>
          <w:color w:val="4B4F54" w:themeColor="text1"/>
          <w:sz w:val="18"/>
          <w:szCs w:val="18"/>
          <w:lang w:val="pt-PT" w:eastAsia="en-US"/>
        </w:rPr>
        <w:t xml:space="preserve">Figura </w:t>
      </w:r>
      <w:r w:rsidRPr="00FF7074">
        <w:rPr>
          <w:rFonts w:eastAsia="Calibri"/>
          <w:i/>
          <w:color w:val="4B4F54" w:themeColor="text1"/>
          <w:sz w:val="18"/>
          <w:szCs w:val="18"/>
          <w:lang w:val="pt-PT" w:eastAsia="en-US"/>
        </w:rPr>
        <w:fldChar w:fldCharType="begin"/>
      </w:r>
      <w:r w:rsidRPr="00FF7074">
        <w:rPr>
          <w:rFonts w:eastAsia="Calibri"/>
          <w:i/>
          <w:color w:val="4B4F54" w:themeColor="text1"/>
          <w:sz w:val="18"/>
          <w:szCs w:val="18"/>
          <w:lang w:val="pt-PT" w:eastAsia="en-US"/>
        </w:rPr>
        <w:instrText xml:space="preserve"> SEQ Figura \* ARABIC </w:instrText>
      </w:r>
      <w:r w:rsidRPr="00FF7074">
        <w:rPr>
          <w:rFonts w:eastAsia="Calibri"/>
          <w:i/>
          <w:color w:val="4B4F54" w:themeColor="text1"/>
          <w:sz w:val="18"/>
          <w:szCs w:val="18"/>
          <w:lang w:val="pt-PT" w:eastAsia="en-US"/>
        </w:rPr>
        <w:fldChar w:fldCharType="separate"/>
      </w:r>
      <w:r w:rsidR="008617AF">
        <w:rPr>
          <w:rFonts w:eastAsia="Calibri"/>
          <w:i/>
          <w:noProof/>
          <w:color w:val="4B4F54" w:themeColor="text1"/>
          <w:sz w:val="18"/>
          <w:szCs w:val="18"/>
          <w:lang w:val="pt-PT" w:eastAsia="en-US"/>
        </w:rPr>
        <w:t>5</w:t>
      </w:r>
      <w:r w:rsidRPr="00FF7074">
        <w:rPr>
          <w:rFonts w:eastAsia="Calibri"/>
          <w:i/>
          <w:color w:val="4B4F54" w:themeColor="text1"/>
          <w:sz w:val="18"/>
          <w:szCs w:val="18"/>
          <w:lang w:val="pt-PT" w:eastAsia="en-US"/>
        </w:rPr>
        <w:fldChar w:fldCharType="end"/>
      </w:r>
      <w:r w:rsidRPr="00FF7074">
        <w:rPr>
          <w:rFonts w:eastAsia="Verdana" w:cs="Verdana"/>
          <w:i/>
          <w:color w:val="4B4F54" w:themeColor="text1"/>
          <w:sz w:val="18"/>
          <w:szCs w:val="18"/>
          <w:lang w:val="pt-PT" w:eastAsia="en-US"/>
        </w:rPr>
        <w:t xml:space="preserve">: </w:t>
      </w:r>
      <w:r w:rsidR="002437F2" w:rsidRPr="00FF7074">
        <w:rPr>
          <w:rFonts w:eastAsia="Verdana" w:cs="Verdana"/>
          <w:i/>
          <w:color w:val="4B4F54" w:themeColor="text1"/>
          <w:sz w:val="18"/>
          <w:szCs w:val="18"/>
          <w:lang w:val="pt-PT" w:eastAsia="en-US"/>
        </w:rPr>
        <w:t xml:space="preserve">Gráfico de </w:t>
      </w:r>
      <w:proofErr w:type="spellStart"/>
      <w:r w:rsidR="002437F2" w:rsidRPr="00FF7074">
        <w:rPr>
          <w:rFonts w:eastAsia="Verdana" w:cs="Verdana"/>
          <w:i/>
          <w:color w:val="4B4F54" w:themeColor="text1"/>
          <w:sz w:val="18"/>
          <w:szCs w:val="18"/>
          <w:lang w:val="pt-PT" w:eastAsia="en-US"/>
        </w:rPr>
        <w:t>Burndown</w:t>
      </w:r>
      <w:proofErr w:type="spellEnd"/>
      <w:r w:rsidR="002437F2" w:rsidRPr="00FF7074">
        <w:rPr>
          <w:rFonts w:eastAsia="Verdana" w:cs="Verdana"/>
          <w:i/>
          <w:color w:val="4B4F54" w:themeColor="text1"/>
          <w:sz w:val="18"/>
          <w:szCs w:val="18"/>
          <w:lang w:val="pt-PT" w:eastAsia="en-US"/>
        </w:rPr>
        <w:t xml:space="preserve"> </w:t>
      </w:r>
      <w:proofErr w:type="spellStart"/>
      <w:r w:rsidR="002437F2" w:rsidRPr="00FF7074">
        <w:rPr>
          <w:rFonts w:eastAsia="Verdana" w:cs="Verdana"/>
          <w:i/>
          <w:color w:val="4B4F54" w:themeColor="text1"/>
          <w:sz w:val="18"/>
          <w:szCs w:val="18"/>
          <w:lang w:val="pt-PT" w:eastAsia="en-US"/>
        </w:rPr>
        <w:t>chart</w:t>
      </w:r>
      <w:proofErr w:type="spellEnd"/>
      <w:r w:rsidRPr="00FF7074">
        <w:rPr>
          <w:rFonts w:eastAsia="Verdana" w:cs="Verdana"/>
          <w:i/>
          <w:color w:val="4B4F54" w:themeColor="text1"/>
          <w:sz w:val="18"/>
          <w:szCs w:val="18"/>
          <w:lang w:val="pt-PT" w:eastAsia="en-US"/>
        </w:rPr>
        <w:t>.</w:t>
      </w:r>
    </w:p>
    <w:p w14:paraId="0F846616" w14:textId="5362B4A1" w:rsidR="00353D92" w:rsidRPr="00FF7074" w:rsidRDefault="00353D92" w:rsidP="00353D92">
      <w:pPr>
        <w:spacing w:before="0" w:after="200"/>
        <w:ind w:firstLine="0"/>
        <w:jc w:val="center"/>
        <w:rPr>
          <w:rFonts w:eastAsia="Verdana" w:cs="Verdana"/>
          <w:i/>
          <w:color w:val="4B4F54" w:themeColor="text1"/>
          <w:sz w:val="16"/>
          <w:szCs w:val="16"/>
          <w:lang w:val="pt-PT" w:eastAsia="en-US"/>
        </w:rPr>
      </w:pPr>
      <w:r w:rsidRPr="00FF7074">
        <w:rPr>
          <w:rFonts w:eastAsia="Verdana" w:cs="Verdana"/>
          <w:i/>
          <w:color w:val="4B4F54" w:themeColor="text1"/>
          <w:sz w:val="16"/>
          <w:szCs w:val="16"/>
          <w:lang w:val="pt-PT" w:eastAsia="en-US"/>
        </w:rPr>
        <w:t xml:space="preserve">Fonte: </w:t>
      </w:r>
      <w:r w:rsidR="002B077A" w:rsidRPr="00FF7074">
        <w:rPr>
          <w:rFonts w:eastAsia="Verdana" w:cs="Verdana"/>
          <w:i/>
          <w:color w:val="4B4F54" w:themeColor="text1"/>
          <w:sz w:val="16"/>
          <w:szCs w:val="16"/>
          <w:lang w:val="pt-PT" w:eastAsia="en-US"/>
        </w:rPr>
        <w:t>https://backlog.com/wp-blog-app/uploads/2020/01/burndown@2x.png</w:t>
      </w:r>
      <w:r w:rsidRPr="00FF7074">
        <w:rPr>
          <w:rFonts w:eastAsia="Verdana" w:cs="Verdana"/>
          <w:i/>
          <w:color w:val="4B4F54" w:themeColor="text1"/>
          <w:sz w:val="16"/>
          <w:szCs w:val="16"/>
          <w:lang w:val="pt-PT" w:eastAsia="en-US"/>
        </w:rPr>
        <w:t>.</w:t>
      </w:r>
    </w:p>
    <w:p w14:paraId="1D6EF004" w14:textId="77777777" w:rsidR="001B1ECD" w:rsidRPr="00FF7074" w:rsidRDefault="001B1ECD" w:rsidP="001B1ECD">
      <w:pPr>
        <w:suppressAutoHyphens/>
        <w:ind w:firstLine="0"/>
        <w:rPr>
          <w:lang w:val="pt-PT"/>
        </w:rPr>
      </w:pPr>
    </w:p>
    <w:p w14:paraId="4678CE5A" w14:textId="716B9644" w:rsidR="000725C9" w:rsidRPr="00FF7074" w:rsidRDefault="000725C9" w:rsidP="000725C9">
      <w:pPr>
        <w:suppressAutoHyphens/>
        <w:ind w:firstLine="0"/>
        <w:rPr>
          <w:lang w:val="pt-PT"/>
        </w:rPr>
      </w:pPr>
      <w:r w:rsidRPr="00FF7074">
        <w:rPr>
          <w:b/>
          <w:bCs/>
          <w:lang w:val="pt-PT"/>
        </w:rPr>
        <w:t>Fase de encerramento</w:t>
      </w:r>
      <w:r w:rsidRPr="00FF7074">
        <w:rPr>
          <w:lang w:val="pt-PT"/>
        </w:rPr>
        <w:t>. Na fase de encerramento do ciclo de vida da gestão de projetos, é necessário concluir as atividades do projeto, entregar o produto ou serviço acabado aos seus novos proprietários e avaliar as áreas de oportunidade para o projeto. Recomenda-se a realização de retrospetivas e a tomada de notas das alterações que podem ser implementadas no futuro, a comunicação com os novos proprietários de um projeto e a criação de um relatório de encerramento do projeto.</w:t>
      </w:r>
    </w:p>
    <w:p w14:paraId="2391329B" w14:textId="77777777" w:rsidR="000725C9" w:rsidRPr="00261575" w:rsidRDefault="000725C9" w:rsidP="00261575">
      <w:pPr>
        <w:pStyle w:val="Ttulo3"/>
      </w:pPr>
      <w:bookmarkStart w:id="50" w:name="_Toc138420945"/>
      <w:r w:rsidRPr="00261575">
        <w:t>Inovação aberta</w:t>
      </w:r>
      <w:bookmarkEnd w:id="50"/>
    </w:p>
    <w:p w14:paraId="144F2AF8" w14:textId="77777777" w:rsidR="000725C9" w:rsidRPr="00FF7074" w:rsidRDefault="000725C9" w:rsidP="009E7C09">
      <w:pPr>
        <w:suppressAutoHyphens/>
        <w:ind w:firstLine="0"/>
        <w:rPr>
          <w:lang w:val="pt-PT"/>
        </w:rPr>
      </w:pPr>
      <w:r w:rsidRPr="00FF7074">
        <w:rPr>
          <w:lang w:val="pt-PT"/>
        </w:rPr>
        <w:t xml:space="preserve">A inovação aberta é uma abordagem colaborativa à inovação que envolve a procura e a utilização de ideias, tecnologias e recursos externos, bem como a partilha de ideias e tecnologias internas com entidades externas. O conceito foi introduzido pela primeira vez </w:t>
      </w:r>
      <w:r w:rsidRPr="00FF7074">
        <w:rPr>
          <w:lang w:val="pt-PT"/>
        </w:rPr>
        <w:lastRenderedPageBreak/>
        <w:t xml:space="preserve">por Henry </w:t>
      </w:r>
      <w:proofErr w:type="spellStart"/>
      <w:r w:rsidRPr="00FF7074">
        <w:rPr>
          <w:lang w:val="pt-PT"/>
        </w:rPr>
        <w:t>Chesbrough</w:t>
      </w:r>
      <w:proofErr w:type="spellEnd"/>
      <w:r w:rsidRPr="00FF7074">
        <w:rPr>
          <w:lang w:val="pt-PT"/>
        </w:rPr>
        <w:t xml:space="preserve"> no seu livro "</w:t>
      </w:r>
      <w:r w:rsidRPr="00FF7074">
        <w:rPr>
          <w:i/>
          <w:iCs/>
          <w:lang w:val="pt-PT"/>
        </w:rPr>
        <w:t xml:space="preserve">Open </w:t>
      </w:r>
      <w:proofErr w:type="spellStart"/>
      <w:r w:rsidRPr="00FF7074">
        <w:rPr>
          <w:i/>
          <w:iCs/>
          <w:lang w:val="pt-PT"/>
        </w:rPr>
        <w:t>Innovation</w:t>
      </w:r>
      <w:proofErr w:type="spellEnd"/>
      <w:r w:rsidRPr="00FF7074">
        <w:rPr>
          <w:i/>
          <w:iCs/>
          <w:lang w:val="pt-PT"/>
        </w:rPr>
        <w:t xml:space="preserve">: </w:t>
      </w:r>
      <w:proofErr w:type="spellStart"/>
      <w:r w:rsidRPr="00FF7074">
        <w:rPr>
          <w:i/>
          <w:iCs/>
          <w:lang w:val="pt-PT"/>
        </w:rPr>
        <w:t>The</w:t>
      </w:r>
      <w:proofErr w:type="spellEnd"/>
      <w:r w:rsidRPr="00FF7074">
        <w:rPr>
          <w:i/>
          <w:iCs/>
          <w:lang w:val="pt-PT"/>
        </w:rPr>
        <w:t xml:space="preserve"> New </w:t>
      </w:r>
      <w:proofErr w:type="spellStart"/>
      <w:r w:rsidRPr="00FF7074">
        <w:rPr>
          <w:i/>
          <w:iCs/>
          <w:lang w:val="pt-PT"/>
        </w:rPr>
        <w:t>Imperative</w:t>
      </w:r>
      <w:proofErr w:type="spellEnd"/>
      <w:r w:rsidRPr="00FF7074">
        <w:rPr>
          <w:i/>
          <w:iCs/>
          <w:lang w:val="pt-PT"/>
        </w:rPr>
        <w:t xml:space="preserve"> for </w:t>
      </w:r>
      <w:proofErr w:type="spellStart"/>
      <w:r w:rsidRPr="00FF7074">
        <w:rPr>
          <w:i/>
          <w:iCs/>
          <w:lang w:val="pt-PT"/>
        </w:rPr>
        <w:t>Creating</w:t>
      </w:r>
      <w:proofErr w:type="spellEnd"/>
      <w:r w:rsidRPr="00FF7074">
        <w:rPr>
          <w:i/>
          <w:iCs/>
          <w:lang w:val="pt-PT"/>
        </w:rPr>
        <w:t xml:space="preserve"> </w:t>
      </w:r>
      <w:proofErr w:type="spellStart"/>
      <w:r w:rsidRPr="00FF7074">
        <w:rPr>
          <w:i/>
          <w:iCs/>
          <w:lang w:val="pt-PT"/>
        </w:rPr>
        <w:t>and</w:t>
      </w:r>
      <w:proofErr w:type="spellEnd"/>
      <w:r w:rsidRPr="00FF7074">
        <w:rPr>
          <w:i/>
          <w:iCs/>
          <w:lang w:val="pt-PT"/>
        </w:rPr>
        <w:t xml:space="preserve"> </w:t>
      </w:r>
      <w:proofErr w:type="spellStart"/>
      <w:r w:rsidRPr="00FF7074">
        <w:rPr>
          <w:i/>
          <w:iCs/>
          <w:lang w:val="pt-PT"/>
        </w:rPr>
        <w:t>Profiting</w:t>
      </w:r>
      <w:proofErr w:type="spellEnd"/>
      <w:r w:rsidRPr="00FF7074">
        <w:rPr>
          <w:i/>
          <w:iCs/>
          <w:lang w:val="pt-PT"/>
        </w:rPr>
        <w:t xml:space="preserve"> from </w:t>
      </w:r>
      <w:proofErr w:type="spellStart"/>
      <w:r w:rsidRPr="00FF7074">
        <w:rPr>
          <w:i/>
          <w:iCs/>
          <w:lang w:val="pt-PT"/>
        </w:rPr>
        <w:t>Technology</w:t>
      </w:r>
      <w:proofErr w:type="spellEnd"/>
      <w:r w:rsidRPr="00FF7074">
        <w:rPr>
          <w:lang w:val="pt-PT"/>
        </w:rPr>
        <w:t>" em 2003.</w:t>
      </w:r>
    </w:p>
    <w:p w14:paraId="3C302A96" w14:textId="6A5F28BB" w:rsidR="000725C9" w:rsidRPr="00FF7074" w:rsidRDefault="000725C9" w:rsidP="009E7C09">
      <w:pPr>
        <w:suppressAutoHyphens/>
        <w:ind w:firstLine="0"/>
        <w:rPr>
          <w:lang w:val="pt-PT"/>
        </w:rPr>
      </w:pPr>
      <w:r w:rsidRPr="00FF7074">
        <w:rPr>
          <w:lang w:val="pt-PT"/>
        </w:rPr>
        <w:t>Em contraste com a inovação fechada tradicional, em que as empresas se baseiam principalmente nos seus esforços internos de I&amp;D para gerar novas ideias, a inovação aberta reconhece que as ideias e tecnologias valiosas podem vir de uma variedade de fontes, incluindo clientes, fornecedores, concorrentes e instituições académicas. A inovação aberta procura aproveitar este conhecimento e experiência externos para acelerar a inovação, reduzir os custos de I&amp;D e aumentar a probabilidade de sucesso comercial (</w:t>
      </w:r>
      <w:proofErr w:type="spellStart"/>
      <w:r w:rsidRPr="00FF7074">
        <w:rPr>
          <w:lang w:val="pt-PT"/>
        </w:rPr>
        <w:t>Chesbrough</w:t>
      </w:r>
      <w:proofErr w:type="spellEnd"/>
      <w:r w:rsidRPr="00FF7074">
        <w:rPr>
          <w:lang w:val="pt-PT"/>
        </w:rPr>
        <w:t xml:space="preserve"> </w:t>
      </w:r>
      <w:proofErr w:type="spellStart"/>
      <w:r w:rsidRPr="00FF7074">
        <w:rPr>
          <w:lang w:val="pt-PT"/>
        </w:rPr>
        <w:t>et</w:t>
      </w:r>
      <w:proofErr w:type="spellEnd"/>
      <w:r w:rsidRPr="00FF7074">
        <w:rPr>
          <w:lang w:val="pt-PT"/>
        </w:rPr>
        <w:t xml:space="preserve"> al., 2006). Ao ligarem-se a um conjunto externo de conhecimentos e ideias, as empresas podem continuar a inovar e a prosperar. O "</w:t>
      </w:r>
      <w:proofErr w:type="spellStart"/>
      <w:r w:rsidRPr="00FF7074">
        <w:rPr>
          <w:lang w:val="pt-PT"/>
        </w:rPr>
        <w:t>Connect</w:t>
      </w:r>
      <w:proofErr w:type="spellEnd"/>
      <w:r w:rsidRPr="00FF7074">
        <w:rPr>
          <w:lang w:val="pt-PT"/>
        </w:rPr>
        <w:t xml:space="preserve"> &amp; </w:t>
      </w:r>
      <w:proofErr w:type="spellStart"/>
      <w:r w:rsidRPr="00FF7074">
        <w:rPr>
          <w:lang w:val="pt-PT"/>
        </w:rPr>
        <w:t>Develop</w:t>
      </w:r>
      <w:proofErr w:type="spellEnd"/>
      <w:r w:rsidRPr="00FF7074">
        <w:rPr>
          <w:lang w:val="pt-PT"/>
        </w:rPr>
        <w:t xml:space="preserve">" da </w:t>
      </w:r>
      <w:proofErr w:type="spellStart"/>
      <w:r w:rsidRPr="00FF7074">
        <w:rPr>
          <w:lang w:val="pt-PT"/>
        </w:rPr>
        <w:t>Proctor</w:t>
      </w:r>
      <w:proofErr w:type="spellEnd"/>
      <w:r w:rsidRPr="00FF7074">
        <w:rPr>
          <w:lang w:val="pt-PT"/>
        </w:rPr>
        <w:t xml:space="preserve"> &amp; </w:t>
      </w:r>
      <w:proofErr w:type="spellStart"/>
      <w:r w:rsidRPr="00FF7074">
        <w:rPr>
          <w:lang w:val="pt-PT"/>
        </w:rPr>
        <w:t>Gamble</w:t>
      </w:r>
      <w:proofErr w:type="spellEnd"/>
      <w:r w:rsidRPr="00FF7074">
        <w:rPr>
          <w:lang w:val="pt-PT"/>
        </w:rPr>
        <w:t xml:space="preserve"> e o </w:t>
      </w:r>
      <w:r w:rsidR="00A57F0C" w:rsidRPr="00FF7074">
        <w:rPr>
          <w:lang w:val="pt-PT"/>
        </w:rPr>
        <w:t>“</w:t>
      </w:r>
      <w:r w:rsidRPr="00FF7074">
        <w:rPr>
          <w:lang w:val="pt-PT"/>
        </w:rPr>
        <w:t>High-Tech Campus Eindhoven</w:t>
      </w:r>
      <w:r w:rsidR="00A57F0C" w:rsidRPr="00FF7074">
        <w:rPr>
          <w:lang w:val="pt-PT"/>
        </w:rPr>
        <w:t>”</w:t>
      </w:r>
      <w:r w:rsidRPr="00FF7074">
        <w:rPr>
          <w:lang w:val="pt-PT"/>
        </w:rPr>
        <w:t xml:space="preserve"> da Philips são alguns exemplos da implementação </w:t>
      </w:r>
      <w:proofErr w:type="gramStart"/>
      <w:r w:rsidRPr="00FF7074">
        <w:rPr>
          <w:lang w:val="pt-PT"/>
        </w:rPr>
        <w:t>bem sucedida</w:t>
      </w:r>
      <w:proofErr w:type="gramEnd"/>
      <w:r w:rsidRPr="00FF7074">
        <w:rPr>
          <w:lang w:val="pt-PT"/>
        </w:rPr>
        <w:t xml:space="preserve"> da Inovação Aberta.  </w:t>
      </w:r>
    </w:p>
    <w:p w14:paraId="00407277" w14:textId="618B61D8" w:rsidR="001B1ECD" w:rsidRPr="00FF7074" w:rsidRDefault="000725C9" w:rsidP="009E7C09">
      <w:pPr>
        <w:suppressAutoHyphens/>
        <w:ind w:firstLine="0"/>
        <w:rPr>
          <w:lang w:val="pt-PT"/>
        </w:rPr>
      </w:pPr>
      <w:r w:rsidRPr="00FF7074">
        <w:rPr>
          <w:lang w:val="pt-PT"/>
        </w:rPr>
        <w:t xml:space="preserve">Por conseguinte, a inovação aberta refere-se a um modelo de gestão empresarial baseado na convicção de que uma empresa pode beneficiar de colaborações com fontes externas. Esta colaboração pode assumir muitas formas, tais como parcerias estratégicas, </w:t>
      </w:r>
      <w:proofErr w:type="spellStart"/>
      <w:r w:rsidRPr="00FF7074">
        <w:rPr>
          <w:lang w:val="pt-PT"/>
        </w:rPr>
        <w:t>joint</w:t>
      </w:r>
      <w:proofErr w:type="spellEnd"/>
      <w:r w:rsidRPr="00FF7074">
        <w:rPr>
          <w:lang w:val="pt-PT"/>
        </w:rPr>
        <w:t xml:space="preserve"> ventures, acordos de licenciamento, crowdsourcing e desafios de inovação. Requer uma cultura de abertura, colaboração e confiança, bem como uma comunicação eficaz e uma gestão da propriedade intelectual para proteger os interesses de todas as partes envolvidas</w:t>
      </w:r>
      <w:r w:rsidR="00D05000" w:rsidRPr="00FF7074">
        <w:rPr>
          <w:lang w:val="pt-PT"/>
        </w:rPr>
        <w:t>.</w:t>
      </w:r>
    </w:p>
    <w:p w14:paraId="38FEBEE4" w14:textId="5CAA68C7" w:rsidR="000725C9" w:rsidRPr="00FF7074" w:rsidRDefault="005C2B5C" w:rsidP="005C2B5C">
      <w:pPr>
        <w:suppressAutoHyphens/>
        <w:ind w:firstLine="0"/>
        <w:jc w:val="center"/>
        <w:rPr>
          <w:lang w:val="pt-PT"/>
        </w:rPr>
      </w:pPr>
      <w:r w:rsidRPr="00FF7074">
        <w:rPr>
          <w:noProof/>
          <w:lang w:val="pt-PT"/>
        </w:rPr>
        <w:drawing>
          <wp:inline distT="0" distB="0" distL="0" distR="0" wp14:anchorId="2BA5DA9C" wp14:editId="14C04B19">
            <wp:extent cx="3845892" cy="2205644"/>
            <wp:effectExtent l="0" t="0" r="2540" b="4445"/>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52752" cy="2209579"/>
                    </a:xfrm>
                    <a:prstGeom prst="rect">
                      <a:avLst/>
                    </a:prstGeom>
                    <a:noFill/>
                  </pic:spPr>
                </pic:pic>
              </a:graphicData>
            </a:graphic>
          </wp:inline>
        </w:drawing>
      </w:r>
    </w:p>
    <w:p w14:paraId="078F9127" w14:textId="77777777" w:rsidR="000725C9" w:rsidRPr="00FF7074" w:rsidRDefault="000725C9" w:rsidP="001B1ECD">
      <w:pPr>
        <w:suppressAutoHyphens/>
        <w:ind w:firstLine="0"/>
        <w:rPr>
          <w:lang w:val="pt-PT"/>
        </w:rPr>
      </w:pPr>
    </w:p>
    <w:p w14:paraId="48C11D64" w14:textId="4B46E055" w:rsidR="005C2B5C" w:rsidRPr="00FF7074" w:rsidRDefault="005C2B5C" w:rsidP="005C2B5C">
      <w:pPr>
        <w:spacing w:before="0" w:after="0"/>
        <w:ind w:firstLine="0"/>
        <w:jc w:val="center"/>
        <w:rPr>
          <w:rFonts w:eastAsia="Verdana" w:cs="Verdana"/>
          <w:i/>
          <w:color w:val="4B4F54" w:themeColor="text1"/>
          <w:sz w:val="18"/>
          <w:szCs w:val="18"/>
          <w:lang w:val="pt-PT" w:eastAsia="en-US"/>
        </w:rPr>
      </w:pPr>
      <w:r w:rsidRPr="00FF7074">
        <w:rPr>
          <w:rFonts w:eastAsia="Verdana" w:cs="Verdana"/>
          <w:i/>
          <w:color w:val="4B4F54" w:themeColor="text1"/>
          <w:sz w:val="18"/>
          <w:szCs w:val="18"/>
          <w:lang w:val="pt-PT" w:eastAsia="en-US"/>
        </w:rPr>
        <w:t xml:space="preserve">Figura </w:t>
      </w:r>
      <w:r w:rsidRPr="00FF7074">
        <w:rPr>
          <w:rFonts w:eastAsia="Calibri"/>
          <w:i/>
          <w:color w:val="4B4F54" w:themeColor="text1"/>
          <w:sz w:val="18"/>
          <w:szCs w:val="18"/>
          <w:lang w:val="pt-PT" w:eastAsia="en-US"/>
        </w:rPr>
        <w:fldChar w:fldCharType="begin"/>
      </w:r>
      <w:r w:rsidRPr="00FF7074">
        <w:rPr>
          <w:rFonts w:eastAsia="Calibri"/>
          <w:i/>
          <w:color w:val="4B4F54" w:themeColor="text1"/>
          <w:sz w:val="18"/>
          <w:szCs w:val="18"/>
          <w:lang w:val="pt-PT" w:eastAsia="en-US"/>
        </w:rPr>
        <w:instrText xml:space="preserve"> SEQ Figura \* ARABIC </w:instrText>
      </w:r>
      <w:r w:rsidRPr="00FF7074">
        <w:rPr>
          <w:rFonts w:eastAsia="Calibri"/>
          <w:i/>
          <w:color w:val="4B4F54" w:themeColor="text1"/>
          <w:sz w:val="18"/>
          <w:szCs w:val="18"/>
          <w:lang w:val="pt-PT" w:eastAsia="en-US"/>
        </w:rPr>
        <w:fldChar w:fldCharType="separate"/>
      </w:r>
      <w:r w:rsidR="008617AF">
        <w:rPr>
          <w:rFonts w:eastAsia="Calibri"/>
          <w:i/>
          <w:noProof/>
          <w:color w:val="4B4F54" w:themeColor="text1"/>
          <w:sz w:val="18"/>
          <w:szCs w:val="18"/>
          <w:lang w:val="pt-PT" w:eastAsia="en-US"/>
        </w:rPr>
        <w:t>6</w:t>
      </w:r>
      <w:r w:rsidRPr="00FF7074">
        <w:rPr>
          <w:rFonts w:eastAsia="Calibri"/>
          <w:i/>
          <w:color w:val="4B4F54" w:themeColor="text1"/>
          <w:sz w:val="18"/>
          <w:szCs w:val="18"/>
          <w:lang w:val="pt-PT" w:eastAsia="en-US"/>
        </w:rPr>
        <w:fldChar w:fldCharType="end"/>
      </w:r>
      <w:r w:rsidRPr="00FF7074">
        <w:rPr>
          <w:rFonts w:eastAsia="Verdana" w:cs="Verdana"/>
          <w:i/>
          <w:color w:val="4B4F54" w:themeColor="text1"/>
          <w:sz w:val="18"/>
          <w:szCs w:val="18"/>
          <w:lang w:val="pt-PT" w:eastAsia="en-US"/>
        </w:rPr>
        <w:t>: Inovação aberta.</w:t>
      </w:r>
    </w:p>
    <w:p w14:paraId="25AF878A" w14:textId="1DA4BC09" w:rsidR="00BA6BDD" w:rsidRPr="00FF7074" w:rsidRDefault="005C2B5C" w:rsidP="004A1298">
      <w:pPr>
        <w:spacing w:before="0" w:after="200"/>
        <w:ind w:firstLine="0"/>
        <w:jc w:val="center"/>
        <w:rPr>
          <w:rFonts w:eastAsia="Verdana" w:cs="Verdana"/>
          <w:i/>
          <w:color w:val="4B4F54" w:themeColor="text1"/>
          <w:sz w:val="16"/>
          <w:szCs w:val="16"/>
          <w:lang w:val="pt-PT" w:eastAsia="en-US"/>
        </w:rPr>
      </w:pPr>
      <w:r w:rsidRPr="00FF7074">
        <w:rPr>
          <w:rFonts w:eastAsia="Verdana" w:cs="Verdana"/>
          <w:i/>
          <w:color w:val="4B4F54" w:themeColor="text1"/>
          <w:sz w:val="16"/>
          <w:szCs w:val="16"/>
          <w:lang w:val="pt-PT" w:eastAsia="en-US"/>
        </w:rPr>
        <w:t xml:space="preserve">Fonte: </w:t>
      </w:r>
      <w:r w:rsidR="004A1298" w:rsidRPr="00FF7074">
        <w:rPr>
          <w:rFonts w:eastAsia="Verdana" w:cs="Verdana"/>
          <w:i/>
          <w:color w:val="4B4F54" w:themeColor="text1"/>
          <w:sz w:val="16"/>
          <w:szCs w:val="16"/>
          <w:lang w:val="pt-PT" w:eastAsia="en-US"/>
        </w:rPr>
        <w:t>https://www.eoi.es/blogs/imsd/innovation-what-is-open-innovation.</w:t>
      </w:r>
    </w:p>
    <w:p w14:paraId="4E639DDA" w14:textId="30F2AD67" w:rsidR="0002769F" w:rsidRPr="00FF7074" w:rsidRDefault="00162358" w:rsidP="00261575">
      <w:pPr>
        <w:pStyle w:val="Ttulo3"/>
      </w:pPr>
      <w:bookmarkStart w:id="51" w:name="_Toc138420946"/>
      <w:r w:rsidRPr="00FF7074">
        <w:t xml:space="preserve">Definição de </w:t>
      </w:r>
      <w:r w:rsidR="005D3BCF" w:rsidRPr="00FF7074">
        <w:rPr>
          <w:i/>
        </w:rPr>
        <w:t>Scouting</w:t>
      </w:r>
      <w:r w:rsidRPr="00FF7074">
        <w:t xml:space="preserve"> Tecnológico</w:t>
      </w:r>
      <w:bookmarkEnd w:id="51"/>
    </w:p>
    <w:p w14:paraId="03381228" w14:textId="5E726E07" w:rsidR="00F3776E" w:rsidRPr="00FF7074" w:rsidRDefault="00F3776E" w:rsidP="00F3776E">
      <w:pPr>
        <w:suppressAutoHyphens/>
        <w:ind w:firstLine="0"/>
        <w:rPr>
          <w:lang w:val="pt-PT"/>
        </w:rPr>
      </w:pPr>
      <w:r w:rsidRPr="00FF7074">
        <w:rPr>
          <w:lang w:val="pt-PT"/>
        </w:rPr>
        <w:t xml:space="preserve">No centro da inovação aberta está a capacidade de uma empresa para identificar as </w:t>
      </w:r>
      <w:r w:rsidR="005D3BCF" w:rsidRPr="00FF7074">
        <w:rPr>
          <w:lang w:val="pt-PT"/>
        </w:rPr>
        <w:t>tecnologias</w:t>
      </w:r>
      <w:r w:rsidRPr="00FF7074">
        <w:rPr>
          <w:lang w:val="pt-PT"/>
        </w:rPr>
        <w:t xml:space="preserve"> que estão em sintonia com as suas metas e </w:t>
      </w:r>
      <w:r w:rsidR="00832B6B" w:rsidRPr="00FF7074">
        <w:rPr>
          <w:lang w:val="pt-PT"/>
        </w:rPr>
        <w:t>objetivos</w:t>
      </w:r>
      <w:r w:rsidRPr="00FF7074">
        <w:rPr>
          <w:lang w:val="pt-PT"/>
        </w:rPr>
        <w:t xml:space="preserve">. A vantagem competitiva </w:t>
      </w:r>
      <w:r w:rsidRPr="00FF7074">
        <w:rPr>
          <w:lang w:val="pt-PT"/>
        </w:rPr>
        <w:lastRenderedPageBreak/>
        <w:t xml:space="preserve">é largamente determinada pela </w:t>
      </w:r>
      <w:r w:rsidR="00832B6B" w:rsidRPr="00FF7074">
        <w:rPr>
          <w:lang w:val="pt-PT"/>
        </w:rPr>
        <w:t>adoção</w:t>
      </w:r>
      <w:r w:rsidRPr="00FF7074">
        <w:rPr>
          <w:lang w:val="pt-PT"/>
        </w:rPr>
        <w:t xml:space="preserve"> de tecnologias inovadoras e, por isso, a identificação precoce dessas tecnologias é fundamental.</w:t>
      </w:r>
    </w:p>
    <w:p w14:paraId="78718A0C" w14:textId="67C8E6F9" w:rsidR="0002769F" w:rsidRPr="00FF7074" w:rsidRDefault="00F3776E" w:rsidP="00F3776E">
      <w:pPr>
        <w:suppressAutoHyphens/>
        <w:ind w:firstLine="0"/>
        <w:rPr>
          <w:highlight w:val="yellow"/>
          <w:lang w:val="pt-PT"/>
        </w:rPr>
      </w:pPr>
      <w:r w:rsidRPr="00FF7074">
        <w:rPr>
          <w:lang w:val="pt-PT"/>
        </w:rPr>
        <w:t xml:space="preserve">Existem </w:t>
      </w:r>
      <w:r w:rsidR="005D3BCF" w:rsidRPr="00FF7074">
        <w:rPr>
          <w:lang w:val="pt-PT"/>
        </w:rPr>
        <w:t>diferentes</w:t>
      </w:r>
      <w:r w:rsidRPr="00FF7074">
        <w:rPr>
          <w:lang w:val="pt-PT"/>
        </w:rPr>
        <w:t xml:space="preserve"> métodos para </w:t>
      </w:r>
      <w:r w:rsidR="005D3BCF" w:rsidRPr="00FF7074">
        <w:rPr>
          <w:lang w:val="pt-PT"/>
        </w:rPr>
        <w:t>identificar tendências</w:t>
      </w:r>
      <w:r w:rsidRPr="00FF7074">
        <w:rPr>
          <w:lang w:val="pt-PT"/>
        </w:rPr>
        <w:t xml:space="preserve"> futuras e reduzir a incerteza, através da análise de tecnologias novas e emergentes. Estes métodos podem ser designados por </w:t>
      </w:r>
      <w:proofErr w:type="spellStart"/>
      <w:r w:rsidR="00045B53" w:rsidRPr="00FF7074">
        <w:rPr>
          <w:i/>
          <w:iCs/>
          <w:lang w:val="pt-PT"/>
        </w:rPr>
        <w:t>External</w:t>
      </w:r>
      <w:proofErr w:type="spellEnd"/>
      <w:r w:rsidR="00045B53" w:rsidRPr="00FF7074">
        <w:rPr>
          <w:i/>
          <w:iCs/>
          <w:lang w:val="pt-PT"/>
        </w:rPr>
        <w:t xml:space="preserve"> </w:t>
      </w:r>
      <w:proofErr w:type="spellStart"/>
      <w:r w:rsidR="00045B53" w:rsidRPr="00FF7074">
        <w:rPr>
          <w:i/>
          <w:iCs/>
          <w:lang w:val="pt-PT"/>
        </w:rPr>
        <w:t>Technology</w:t>
      </w:r>
      <w:proofErr w:type="spellEnd"/>
      <w:r w:rsidR="00045B53" w:rsidRPr="00FF7074">
        <w:rPr>
          <w:i/>
          <w:iCs/>
          <w:lang w:val="pt-PT"/>
        </w:rPr>
        <w:t xml:space="preserve"> </w:t>
      </w:r>
      <w:proofErr w:type="spellStart"/>
      <w:r w:rsidR="00045B53" w:rsidRPr="00FF7074">
        <w:rPr>
          <w:i/>
          <w:iCs/>
          <w:lang w:val="pt-PT"/>
        </w:rPr>
        <w:t>Searches</w:t>
      </w:r>
      <w:proofErr w:type="spellEnd"/>
      <w:r w:rsidR="00045B53" w:rsidRPr="00FF7074">
        <w:rPr>
          <w:i/>
          <w:iCs/>
          <w:lang w:val="pt-PT"/>
        </w:rPr>
        <w:t xml:space="preserve"> </w:t>
      </w:r>
      <w:r w:rsidRPr="00FF7074">
        <w:rPr>
          <w:lang w:val="pt-PT"/>
        </w:rPr>
        <w:t xml:space="preserve">(ETS) e têm como </w:t>
      </w:r>
      <w:r w:rsidR="00832B6B" w:rsidRPr="00FF7074">
        <w:rPr>
          <w:lang w:val="pt-PT"/>
        </w:rPr>
        <w:t>objetivo</w:t>
      </w:r>
      <w:r w:rsidRPr="00FF7074">
        <w:rPr>
          <w:lang w:val="pt-PT"/>
        </w:rPr>
        <w:t xml:space="preserve"> trazer novas tecnologias para uma empresa. Existe muita investigação neste domínio; no entanto, os autores utilizam formulações e terminologia diferentes para descrever os seus métodos</w:t>
      </w:r>
      <w:r w:rsidR="00C714F2" w:rsidRPr="00FF7074">
        <w:rPr>
          <w:lang w:val="pt-PT"/>
        </w:rPr>
        <w:t>, nomeadamente</w:t>
      </w:r>
      <w:r w:rsidRPr="00FF7074">
        <w:rPr>
          <w:lang w:val="pt-PT"/>
        </w:rPr>
        <w:t xml:space="preserve"> </w:t>
      </w:r>
      <w:proofErr w:type="spellStart"/>
      <w:r w:rsidRPr="00FF7074">
        <w:rPr>
          <w:i/>
          <w:iCs/>
          <w:lang w:val="pt-PT"/>
        </w:rPr>
        <w:t>Technological</w:t>
      </w:r>
      <w:proofErr w:type="spellEnd"/>
      <w:r w:rsidRPr="00FF7074">
        <w:rPr>
          <w:i/>
          <w:iCs/>
          <w:lang w:val="pt-PT"/>
        </w:rPr>
        <w:t xml:space="preserve"> </w:t>
      </w:r>
      <w:proofErr w:type="spellStart"/>
      <w:r w:rsidRPr="00FF7074">
        <w:rPr>
          <w:i/>
          <w:iCs/>
          <w:lang w:val="pt-PT"/>
        </w:rPr>
        <w:t>Forecasting</w:t>
      </w:r>
      <w:proofErr w:type="spellEnd"/>
      <w:r w:rsidRPr="00FF7074">
        <w:rPr>
          <w:lang w:val="pt-PT"/>
        </w:rPr>
        <w:t xml:space="preserve">, </w:t>
      </w:r>
      <w:proofErr w:type="spellStart"/>
      <w:r w:rsidRPr="00FF7074">
        <w:rPr>
          <w:i/>
          <w:iCs/>
          <w:lang w:val="pt-PT"/>
        </w:rPr>
        <w:t>Technology</w:t>
      </w:r>
      <w:proofErr w:type="spellEnd"/>
      <w:r w:rsidRPr="00FF7074">
        <w:rPr>
          <w:i/>
          <w:iCs/>
          <w:lang w:val="pt-PT"/>
        </w:rPr>
        <w:t xml:space="preserve"> </w:t>
      </w:r>
      <w:proofErr w:type="spellStart"/>
      <w:r w:rsidRPr="00FF7074">
        <w:rPr>
          <w:i/>
          <w:iCs/>
          <w:lang w:val="pt-PT"/>
        </w:rPr>
        <w:t>Foresight</w:t>
      </w:r>
      <w:proofErr w:type="spellEnd"/>
      <w:r w:rsidRPr="00FF7074">
        <w:rPr>
          <w:lang w:val="pt-PT"/>
        </w:rPr>
        <w:t xml:space="preserve">, </w:t>
      </w:r>
      <w:proofErr w:type="spellStart"/>
      <w:r w:rsidRPr="00FF7074">
        <w:rPr>
          <w:i/>
          <w:iCs/>
          <w:lang w:val="pt-PT"/>
        </w:rPr>
        <w:t>Technology</w:t>
      </w:r>
      <w:proofErr w:type="spellEnd"/>
      <w:r w:rsidRPr="00FF7074">
        <w:rPr>
          <w:i/>
          <w:iCs/>
          <w:lang w:val="pt-PT"/>
        </w:rPr>
        <w:t xml:space="preserve"> </w:t>
      </w:r>
      <w:proofErr w:type="spellStart"/>
      <w:r w:rsidRPr="00FF7074">
        <w:rPr>
          <w:i/>
          <w:iCs/>
          <w:lang w:val="pt-PT"/>
        </w:rPr>
        <w:t>Intelligence</w:t>
      </w:r>
      <w:proofErr w:type="spellEnd"/>
      <w:r w:rsidRPr="00FF7074">
        <w:rPr>
          <w:lang w:val="pt-PT"/>
        </w:rPr>
        <w:t xml:space="preserve"> ou </w:t>
      </w:r>
      <w:proofErr w:type="spellStart"/>
      <w:r w:rsidRPr="00FF7074">
        <w:rPr>
          <w:i/>
          <w:iCs/>
          <w:lang w:val="pt-PT"/>
        </w:rPr>
        <w:t>Technology</w:t>
      </w:r>
      <w:proofErr w:type="spellEnd"/>
      <w:r w:rsidRPr="00FF7074">
        <w:rPr>
          <w:i/>
          <w:iCs/>
          <w:lang w:val="pt-PT"/>
        </w:rPr>
        <w:t xml:space="preserve"> </w:t>
      </w:r>
      <w:r w:rsidR="005D3BCF" w:rsidRPr="00FF7074">
        <w:rPr>
          <w:i/>
          <w:iCs/>
          <w:lang w:val="pt-PT"/>
        </w:rPr>
        <w:t>Scouting</w:t>
      </w:r>
      <w:r w:rsidRPr="00FF7074">
        <w:rPr>
          <w:lang w:val="pt-PT"/>
        </w:rPr>
        <w:t xml:space="preserve">. Todos estes termos têm significados diferentes, mas a sua investigação tem sido correlacionada com o tempo, como mostra a figura </w:t>
      </w:r>
      <w:r w:rsidR="0039257D" w:rsidRPr="00FF7074">
        <w:rPr>
          <w:lang w:val="pt-PT"/>
        </w:rPr>
        <w:t>seguinte</w:t>
      </w:r>
      <w:r w:rsidRPr="00FF7074">
        <w:rPr>
          <w:lang w:val="pt-PT"/>
        </w:rPr>
        <w:t>:</w:t>
      </w:r>
    </w:p>
    <w:p w14:paraId="16E4C637" w14:textId="7EE1E209" w:rsidR="00FD2887" w:rsidRPr="00FF7074" w:rsidRDefault="00E86CD9" w:rsidP="0039257D">
      <w:pPr>
        <w:suppressAutoHyphens/>
        <w:spacing w:after="0"/>
        <w:ind w:firstLine="0"/>
        <w:rPr>
          <w:lang w:val="pt-PT"/>
        </w:rPr>
      </w:pPr>
      <w:r w:rsidRPr="00FF7074">
        <w:rPr>
          <w:noProof/>
          <w:lang w:val="pt-PT"/>
        </w:rPr>
        <w:drawing>
          <wp:inline distT="0" distB="0" distL="0" distR="0" wp14:anchorId="3AA97F29" wp14:editId="13802688">
            <wp:extent cx="5906206" cy="1519324"/>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3863" t="61576" r="33993" b="16462"/>
                    <a:stretch/>
                  </pic:blipFill>
                  <pic:spPr bwMode="auto">
                    <a:xfrm>
                      <a:off x="0" y="0"/>
                      <a:ext cx="5906206" cy="1519324"/>
                    </a:xfrm>
                    <a:prstGeom prst="rect">
                      <a:avLst/>
                    </a:prstGeom>
                    <a:ln>
                      <a:noFill/>
                    </a:ln>
                    <a:extLst>
                      <a:ext uri="{53640926-AAD7-44D8-BBD7-CCE9431645EC}">
                        <a14:shadowObscured xmlns:a14="http://schemas.microsoft.com/office/drawing/2010/main"/>
                      </a:ext>
                    </a:extLst>
                  </pic:spPr>
                </pic:pic>
              </a:graphicData>
            </a:graphic>
          </wp:inline>
        </w:drawing>
      </w:r>
    </w:p>
    <w:p w14:paraId="3783D941" w14:textId="5FB898C5" w:rsidR="0027694D" w:rsidRPr="00FF7074" w:rsidRDefault="0043219D" w:rsidP="00204C5D">
      <w:pPr>
        <w:spacing w:after="0" w:line="276" w:lineRule="auto"/>
        <w:ind w:firstLine="0"/>
        <w:jc w:val="center"/>
        <w:rPr>
          <w:i/>
          <w:iCs/>
          <w:color w:val="4B4F54" w:themeColor="text1"/>
          <w:sz w:val="18"/>
          <w:szCs w:val="18"/>
          <w:lang w:val="pt-PT"/>
        </w:rPr>
      </w:pPr>
      <w:bookmarkStart w:id="52" w:name="_Hlk134142593"/>
      <w:r w:rsidRPr="00FF7074">
        <w:rPr>
          <w:rFonts w:eastAsia="Verdana"/>
          <w:i/>
          <w:iCs/>
          <w:color w:val="4B4F54" w:themeColor="text1"/>
          <w:sz w:val="18"/>
          <w:szCs w:val="18"/>
          <w:lang w:val="pt-PT" w:eastAsia="en-US"/>
        </w:rPr>
        <w:t xml:space="preserve">Figura </w:t>
      </w:r>
      <w:r w:rsidRPr="00FF7074">
        <w:rPr>
          <w:rFonts w:eastAsia="Verdana"/>
          <w:i/>
          <w:iCs/>
          <w:color w:val="4B4F54" w:themeColor="text1"/>
          <w:sz w:val="18"/>
          <w:szCs w:val="18"/>
          <w:lang w:val="pt-PT" w:eastAsia="en-US"/>
        </w:rPr>
        <w:fldChar w:fldCharType="begin"/>
      </w:r>
      <w:r w:rsidRPr="00FF7074">
        <w:rPr>
          <w:rFonts w:eastAsia="Verdana"/>
          <w:i/>
          <w:iCs/>
          <w:color w:val="4B4F54" w:themeColor="text1"/>
          <w:sz w:val="18"/>
          <w:szCs w:val="18"/>
          <w:lang w:val="pt-PT" w:eastAsia="en-US"/>
        </w:rPr>
        <w:instrText xml:space="preserve"> SEQ Figura \* ARABIC </w:instrText>
      </w:r>
      <w:r w:rsidRPr="00FF7074">
        <w:rPr>
          <w:rFonts w:eastAsia="Verdana"/>
          <w:i/>
          <w:iCs/>
          <w:color w:val="4B4F54" w:themeColor="text1"/>
          <w:sz w:val="18"/>
          <w:szCs w:val="18"/>
          <w:lang w:val="pt-PT" w:eastAsia="en-US"/>
        </w:rPr>
        <w:fldChar w:fldCharType="separate"/>
      </w:r>
      <w:r w:rsidR="008617AF">
        <w:rPr>
          <w:rFonts w:eastAsia="Verdana"/>
          <w:i/>
          <w:iCs/>
          <w:noProof/>
          <w:color w:val="4B4F54" w:themeColor="text1"/>
          <w:sz w:val="18"/>
          <w:szCs w:val="18"/>
          <w:lang w:val="pt-PT" w:eastAsia="en-US"/>
        </w:rPr>
        <w:t>7</w:t>
      </w:r>
      <w:r w:rsidRPr="00FF7074">
        <w:rPr>
          <w:rFonts w:eastAsia="Verdana"/>
          <w:i/>
          <w:iCs/>
          <w:color w:val="4B4F54" w:themeColor="text1"/>
          <w:sz w:val="18"/>
          <w:szCs w:val="18"/>
          <w:lang w:val="pt-PT" w:eastAsia="en-US"/>
        </w:rPr>
        <w:fldChar w:fldCharType="end"/>
      </w:r>
      <w:bookmarkEnd w:id="52"/>
      <w:r w:rsidR="0027694D" w:rsidRPr="00FF7074">
        <w:rPr>
          <w:i/>
          <w:iCs/>
          <w:color w:val="4B4F54" w:themeColor="text1"/>
          <w:sz w:val="18"/>
          <w:szCs w:val="18"/>
          <w:lang w:val="pt-PT"/>
        </w:rPr>
        <w:t>: Evolução da terminologia</w:t>
      </w:r>
      <w:r w:rsidR="002A694F" w:rsidRPr="00FF7074">
        <w:rPr>
          <w:i/>
          <w:iCs/>
          <w:color w:val="4B4F54" w:themeColor="text1"/>
          <w:sz w:val="18"/>
          <w:szCs w:val="18"/>
          <w:lang w:val="pt-PT"/>
        </w:rPr>
        <w:t xml:space="preserve"> de ETS</w:t>
      </w:r>
      <w:r w:rsidR="00184FD8" w:rsidRPr="00FF7074">
        <w:rPr>
          <w:i/>
          <w:iCs/>
          <w:color w:val="4B4F54" w:themeColor="text1"/>
          <w:sz w:val="18"/>
          <w:szCs w:val="18"/>
          <w:lang w:val="pt-PT"/>
        </w:rPr>
        <w:t>.</w:t>
      </w:r>
    </w:p>
    <w:p w14:paraId="1E3E74EE" w14:textId="0F09BBB2" w:rsidR="0027694D" w:rsidRPr="00FF7074" w:rsidRDefault="0027694D" w:rsidP="00204C5D">
      <w:pPr>
        <w:spacing w:after="0" w:line="276" w:lineRule="auto"/>
        <w:ind w:firstLine="0"/>
        <w:jc w:val="center"/>
        <w:rPr>
          <w:i/>
          <w:iCs/>
          <w:color w:val="4B4F54" w:themeColor="text1"/>
          <w:sz w:val="16"/>
          <w:szCs w:val="16"/>
          <w:lang w:val="pt-PT"/>
        </w:rPr>
      </w:pPr>
      <w:r w:rsidRPr="00FF7074">
        <w:rPr>
          <w:i/>
          <w:iCs/>
          <w:color w:val="4B4F54" w:themeColor="text1"/>
          <w:sz w:val="16"/>
          <w:szCs w:val="16"/>
          <w:lang w:val="pt-PT"/>
        </w:rPr>
        <w:t>Fonte: "</w:t>
      </w:r>
      <w:r w:rsidR="004E2E69" w:rsidRPr="00FF7074">
        <w:rPr>
          <w:lang w:val="pt-PT"/>
        </w:rPr>
        <w:t xml:space="preserve"> </w:t>
      </w:r>
      <w:proofErr w:type="spellStart"/>
      <w:r w:rsidR="004E2E69" w:rsidRPr="00FF7074">
        <w:rPr>
          <w:i/>
          <w:iCs/>
          <w:color w:val="4B4F54" w:themeColor="text1"/>
          <w:sz w:val="16"/>
          <w:szCs w:val="16"/>
          <w:lang w:val="pt-PT"/>
        </w:rPr>
        <w:t>External</w:t>
      </w:r>
      <w:proofErr w:type="spellEnd"/>
      <w:r w:rsidR="004E2E69" w:rsidRPr="00FF7074">
        <w:rPr>
          <w:i/>
          <w:iCs/>
          <w:color w:val="4B4F54" w:themeColor="text1"/>
          <w:sz w:val="16"/>
          <w:szCs w:val="16"/>
          <w:lang w:val="pt-PT"/>
        </w:rPr>
        <w:t xml:space="preserve"> </w:t>
      </w:r>
      <w:proofErr w:type="spellStart"/>
      <w:r w:rsidR="004E2E69" w:rsidRPr="00FF7074">
        <w:rPr>
          <w:i/>
          <w:iCs/>
          <w:color w:val="4B4F54" w:themeColor="text1"/>
          <w:sz w:val="16"/>
          <w:szCs w:val="16"/>
          <w:lang w:val="pt-PT"/>
        </w:rPr>
        <w:t>technology</w:t>
      </w:r>
      <w:proofErr w:type="spellEnd"/>
      <w:r w:rsidR="004E2E69" w:rsidRPr="00FF7074">
        <w:rPr>
          <w:i/>
          <w:iCs/>
          <w:color w:val="4B4F54" w:themeColor="text1"/>
          <w:sz w:val="16"/>
          <w:szCs w:val="16"/>
          <w:lang w:val="pt-PT"/>
        </w:rPr>
        <w:t xml:space="preserve"> </w:t>
      </w:r>
      <w:proofErr w:type="spellStart"/>
      <w:r w:rsidR="004E2E69" w:rsidRPr="00FF7074">
        <w:rPr>
          <w:i/>
          <w:iCs/>
          <w:color w:val="4B4F54" w:themeColor="text1"/>
          <w:sz w:val="16"/>
          <w:szCs w:val="16"/>
          <w:lang w:val="pt-PT"/>
        </w:rPr>
        <w:t>searching</w:t>
      </w:r>
      <w:proofErr w:type="spellEnd"/>
      <w:r w:rsidR="004E2E69" w:rsidRPr="00FF7074">
        <w:rPr>
          <w:i/>
          <w:iCs/>
          <w:color w:val="4B4F54" w:themeColor="text1"/>
          <w:sz w:val="16"/>
          <w:szCs w:val="16"/>
          <w:lang w:val="pt-PT"/>
        </w:rPr>
        <w:t xml:space="preserve"> </w:t>
      </w:r>
      <w:proofErr w:type="spellStart"/>
      <w:r w:rsidR="004E2E69" w:rsidRPr="00FF7074">
        <w:rPr>
          <w:i/>
          <w:iCs/>
          <w:color w:val="4B4F54" w:themeColor="text1"/>
          <w:sz w:val="16"/>
          <w:szCs w:val="16"/>
          <w:lang w:val="pt-PT"/>
        </w:rPr>
        <w:t>methods</w:t>
      </w:r>
      <w:proofErr w:type="spellEnd"/>
      <w:r w:rsidR="004E2E69" w:rsidRPr="00FF7074">
        <w:rPr>
          <w:i/>
          <w:iCs/>
          <w:color w:val="4B4F54" w:themeColor="text1"/>
          <w:sz w:val="16"/>
          <w:szCs w:val="16"/>
          <w:lang w:val="pt-PT"/>
        </w:rPr>
        <w:t xml:space="preserve"> – a </w:t>
      </w:r>
      <w:proofErr w:type="spellStart"/>
      <w:r w:rsidR="004E2E69" w:rsidRPr="00FF7074">
        <w:rPr>
          <w:i/>
          <w:iCs/>
          <w:color w:val="4B4F54" w:themeColor="text1"/>
          <w:sz w:val="16"/>
          <w:szCs w:val="16"/>
          <w:lang w:val="pt-PT"/>
        </w:rPr>
        <w:t>literature</w:t>
      </w:r>
      <w:proofErr w:type="spellEnd"/>
      <w:r w:rsidR="004E2E69" w:rsidRPr="00FF7074">
        <w:rPr>
          <w:i/>
          <w:iCs/>
          <w:color w:val="4B4F54" w:themeColor="text1"/>
          <w:sz w:val="16"/>
          <w:szCs w:val="16"/>
          <w:lang w:val="pt-PT"/>
        </w:rPr>
        <w:t xml:space="preserve"> </w:t>
      </w:r>
      <w:proofErr w:type="spellStart"/>
      <w:r w:rsidR="004E2E69" w:rsidRPr="00FF7074">
        <w:rPr>
          <w:i/>
          <w:iCs/>
          <w:color w:val="4B4F54" w:themeColor="text1"/>
          <w:sz w:val="16"/>
          <w:szCs w:val="16"/>
          <w:lang w:val="pt-PT"/>
        </w:rPr>
        <w:t>review</w:t>
      </w:r>
      <w:proofErr w:type="spellEnd"/>
      <w:r w:rsidR="004E2E69" w:rsidRPr="00FF7074">
        <w:rPr>
          <w:i/>
          <w:iCs/>
          <w:color w:val="4B4F54" w:themeColor="text1"/>
          <w:sz w:val="16"/>
          <w:szCs w:val="16"/>
          <w:lang w:val="pt-PT"/>
        </w:rPr>
        <w:t xml:space="preserve"> </w:t>
      </w:r>
      <w:r w:rsidRPr="00FF7074">
        <w:rPr>
          <w:i/>
          <w:iCs/>
          <w:color w:val="4B4F54" w:themeColor="text1"/>
          <w:sz w:val="16"/>
          <w:szCs w:val="16"/>
          <w:lang w:val="pt-PT"/>
        </w:rPr>
        <w:t>" (2019)</w:t>
      </w:r>
      <w:r w:rsidR="006C1140" w:rsidRPr="00FF7074">
        <w:rPr>
          <w:i/>
          <w:iCs/>
          <w:color w:val="4B4F54" w:themeColor="text1"/>
          <w:sz w:val="16"/>
          <w:szCs w:val="16"/>
          <w:lang w:val="pt-PT"/>
        </w:rPr>
        <w:t>,</w:t>
      </w:r>
      <w:r w:rsidRPr="00FF7074">
        <w:rPr>
          <w:i/>
          <w:iCs/>
          <w:color w:val="4B4F54" w:themeColor="text1"/>
          <w:sz w:val="16"/>
          <w:szCs w:val="16"/>
          <w:lang w:val="pt-PT"/>
        </w:rPr>
        <w:t xml:space="preserve"> com base em </w:t>
      </w:r>
      <w:proofErr w:type="spellStart"/>
      <w:r w:rsidRPr="00FF7074">
        <w:rPr>
          <w:i/>
          <w:iCs/>
          <w:color w:val="4B4F54" w:themeColor="text1"/>
          <w:sz w:val="16"/>
          <w:szCs w:val="16"/>
          <w:lang w:val="pt-PT"/>
        </w:rPr>
        <w:t>Chan</w:t>
      </w:r>
      <w:proofErr w:type="spellEnd"/>
      <w:r w:rsidRPr="00FF7074">
        <w:rPr>
          <w:i/>
          <w:iCs/>
          <w:color w:val="4B4F54" w:themeColor="text1"/>
          <w:sz w:val="16"/>
          <w:szCs w:val="16"/>
          <w:lang w:val="pt-PT"/>
        </w:rPr>
        <w:t xml:space="preserve"> e </w:t>
      </w:r>
      <w:proofErr w:type="spellStart"/>
      <w:r w:rsidRPr="00FF7074">
        <w:rPr>
          <w:i/>
          <w:iCs/>
          <w:color w:val="4B4F54" w:themeColor="text1"/>
          <w:sz w:val="16"/>
          <w:szCs w:val="16"/>
          <w:lang w:val="pt-PT"/>
        </w:rPr>
        <w:t>Daim</w:t>
      </w:r>
      <w:proofErr w:type="spellEnd"/>
      <w:r w:rsidRPr="00FF7074">
        <w:rPr>
          <w:i/>
          <w:iCs/>
          <w:color w:val="4B4F54" w:themeColor="text1"/>
          <w:sz w:val="16"/>
          <w:szCs w:val="16"/>
          <w:lang w:val="pt-PT"/>
        </w:rPr>
        <w:t xml:space="preserve"> (2012) e </w:t>
      </w:r>
      <w:proofErr w:type="spellStart"/>
      <w:r w:rsidRPr="00FF7074">
        <w:rPr>
          <w:i/>
          <w:iCs/>
          <w:color w:val="4B4F54" w:themeColor="text1"/>
          <w:sz w:val="16"/>
          <w:szCs w:val="16"/>
          <w:lang w:val="pt-PT"/>
        </w:rPr>
        <w:t>Gudanowska</w:t>
      </w:r>
      <w:proofErr w:type="spellEnd"/>
      <w:r w:rsidRPr="00FF7074">
        <w:rPr>
          <w:i/>
          <w:iCs/>
          <w:color w:val="4B4F54" w:themeColor="text1"/>
          <w:sz w:val="16"/>
          <w:szCs w:val="16"/>
          <w:lang w:val="pt-PT"/>
        </w:rPr>
        <w:t xml:space="preserve"> (2016)</w:t>
      </w:r>
      <w:r w:rsidR="00184FD8" w:rsidRPr="00FF7074">
        <w:rPr>
          <w:i/>
          <w:iCs/>
          <w:color w:val="4B4F54" w:themeColor="text1"/>
          <w:sz w:val="16"/>
          <w:szCs w:val="16"/>
          <w:lang w:val="pt-PT"/>
        </w:rPr>
        <w:t>.</w:t>
      </w:r>
    </w:p>
    <w:p w14:paraId="2A21BC96" w14:textId="1D08E141" w:rsidR="00FD2887" w:rsidRPr="00FF7074" w:rsidRDefault="00FD2887" w:rsidP="003905AB">
      <w:pPr>
        <w:suppressAutoHyphens/>
        <w:ind w:firstLine="0"/>
        <w:rPr>
          <w:sz w:val="4"/>
          <w:szCs w:val="4"/>
          <w:lang w:val="pt-PT"/>
        </w:rPr>
      </w:pPr>
    </w:p>
    <w:p w14:paraId="00BC4BC8" w14:textId="378E0497" w:rsidR="00473A83" w:rsidRPr="00FF7074" w:rsidRDefault="00473A83" w:rsidP="00DF2CF4">
      <w:pPr>
        <w:ind w:firstLine="0"/>
        <w:rPr>
          <w:lang w:val="pt-PT"/>
        </w:rPr>
      </w:pPr>
      <w:r w:rsidRPr="00FF7074">
        <w:rPr>
          <w:lang w:val="pt-PT"/>
        </w:rPr>
        <w:t xml:space="preserve">Por conseguinte, o conceito de </w:t>
      </w:r>
      <w:r w:rsidR="0064763C" w:rsidRPr="00FF7074">
        <w:rPr>
          <w:lang w:val="pt-PT"/>
        </w:rPr>
        <w:t>ETS</w:t>
      </w:r>
      <w:r w:rsidRPr="00FF7074">
        <w:rPr>
          <w:lang w:val="pt-PT"/>
        </w:rPr>
        <w:t xml:space="preserve"> tem evoluído ao longo do tempo, com uma maior abrangência, tal como descrito na figura </w:t>
      </w:r>
      <w:r w:rsidR="0039257D" w:rsidRPr="00FF7074">
        <w:rPr>
          <w:lang w:val="pt-PT"/>
        </w:rPr>
        <w:t>8</w:t>
      </w:r>
      <w:r w:rsidRPr="00FF7074">
        <w:rPr>
          <w:lang w:val="pt-PT"/>
        </w:rPr>
        <w:t>:</w:t>
      </w:r>
    </w:p>
    <w:p w14:paraId="52B3D57A" w14:textId="382ECF02" w:rsidR="00473A83" w:rsidRPr="00FF7074" w:rsidRDefault="00DF2CF4" w:rsidP="00BB43B5">
      <w:pPr>
        <w:pStyle w:val="PargrafodaLista"/>
        <w:numPr>
          <w:ilvl w:val="0"/>
          <w:numId w:val="18"/>
        </w:numPr>
        <w:ind w:left="426" w:hanging="284"/>
        <w:rPr>
          <w:lang w:val="pt-PT"/>
        </w:rPr>
      </w:pPr>
      <w:proofErr w:type="spellStart"/>
      <w:r w:rsidRPr="00FF7074">
        <w:rPr>
          <w:b/>
          <w:bCs/>
          <w:i/>
          <w:iCs/>
          <w:lang w:val="pt-PT"/>
        </w:rPr>
        <w:t>Technology</w:t>
      </w:r>
      <w:proofErr w:type="spellEnd"/>
      <w:r w:rsidRPr="00FF7074">
        <w:rPr>
          <w:b/>
          <w:bCs/>
          <w:i/>
          <w:iCs/>
          <w:lang w:val="pt-PT"/>
        </w:rPr>
        <w:t xml:space="preserve"> </w:t>
      </w:r>
      <w:proofErr w:type="spellStart"/>
      <w:r w:rsidRPr="00FF7074">
        <w:rPr>
          <w:b/>
          <w:bCs/>
          <w:i/>
          <w:iCs/>
          <w:lang w:val="pt-PT"/>
        </w:rPr>
        <w:t>Forecasting</w:t>
      </w:r>
      <w:proofErr w:type="spellEnd"/>
      <w:r w:rsidRPr="00FF7074">
        <w:rPr>
          <w:b/>
          <w:bCs/>
          <w:lang w:val="pt-PT"/>
        </w:rPr>
        <w:t xml:space="preserve"> </w:t>
      </w:r>
      <w:r w:rsidR="00473A83" w:rsidRPr="00FF7074">
        <w:rPr>
          <w:lang w:val="pt-PT"/>
        </w:rPr>
        <w:t>é o processo de previsão de futuros avanços e tendências tecnológicas com base em dados atuais e históricos, bem como em análises e contributos de especialistas. O objetivo da previsão tecnológica é ajudar os indivíduos e as organizações a manterem-se na vanguarda, identificando tecnologias e tendências emergentes que possam ter impacto na sua indústria ou domínio.</w:t>
      </w:r>
    </w:p>
    <w:p w14:paraId="581199E6" w14:textId="06C77CE8" w:rsidR="00473A83" w:rsidRPr="00FF7074" w:rsidRDefault="00711CCB" w:rsidP="00BB43B5">
      <w:pPr>
        <w:pStyle w:val="PargrafodaLista"/>
        <w:numPr>
          <w:ilvl w:val="0"/>
          <w:numId w:val="18"/>
        </w:numPr>
        <w:ind w:left="426" w:hanging="284"/>
        <w:rPr>
          <w:lang w:val="pt-PT"/>
        </w:rPr>
      </w:pPr>
      <w:r w:rsidRPr="00FF7074">
        <w:rPr>
          <w:b/>
          <w:bCs/>
          <w:lang w:val="pt-PT"/>
        </w:rPr>
        <w:tab/>
      </w:r>
      <w:proofErr w:type="spellStart"/>
      <w:r w:rsidRPr="00FF7074">
        <w:rPr>
          <w:b/>
          <w:bCs/>
          <w:i/>
          <w:iCs/>
          <w:lang w:val="pt-PT"/>
        </w:rPr>
        <w:t>Technology</w:t>
      </w:r>
      <w:proofErr w:type="spellEnd"/>
      <w:r w:rsidRPr="00FF7074">
        <w:rPr>
          <w:b/>
          <w:bCs/>
          <w:i/>
          <w:iCs/>
          <w:lang w:val="pt-PT"/>
        </w:rPr>
        <w:t xml:space="preserve"> </w:t>
      </w:r>
      <w:proofErr w:type="spellStart"/>
      <w:r w:rsidRPr="00FF7074">
        <w:rPr>
          <w:b/>
          <w:bCs/>
          <w:i/>
          <w:iCs/>
          <w:lang w:val="pt-PT"/>
        </w:rPr>
        <w:t>Foresight</w:t>
      </w:r>
      <w:proofErr w:type="spellEnd"/>
      <w:r w:rsidRPr="00FF7074">
        <w:rPr>
          <w:b/>
          <w:bCs/>
          <w:lang w:val="pt-PT"/>
        </w:rPr>
        <w:t xml:space="preserve"> </w:t>
      </w:r>
      <w:r w:rsidR="00473A83" w:rsidRPr="00FF7074">
        <w:rPr>
          <w:lang w:val="pt-PT"/>
        </w:rPr>
        <w:t xml:space="preserve">é um termo mais abrangente. Compreende uma abordagem sistemática e participativa da previsão de futuros desenvolvimentos tecnológicos e dos seus potenciais impactos na sociedade e na economia. Envolve uma vasta gama de partes interessadas, incluindo investigadores, decisores políticos, representantes da indústria e organizações da sociedade civil, que trabalham em conjunto para desenvolver uma compreensão partilhada do futuro da tecnologia e das suas implicações. Por conseguinte, inclui </w:t>
      </w:r>
      <w:r w:rsidR="002A694F" w:rsidRPr="00FF7074">
        <w:rPr>
          <w:lang w:val="pt-PT"/>
        </w:rPr>
        <w:t>aspetos</w:t>
      </w:r>
      <w:r w:rsidR="00473A83" w:rsidRPr="00FF7074">
        <w:rPr>
          <w:lang w:val="pt-PT"/>
        </w:rPr>
        <w:t xml:space="preserve"> de ligação em rede a grandes níveis, bem como a preparação para a tomada de decisões.</w:t>
      </w:r>
    </w:p>
    <w:p w14:paraId="3649DF5A" w14:textId="000649EA" w:rsidR="00473A83" w:rsidRPr="00FF7074" w:rsidRDefault="0044721C" w:rsidP="00BB43B5">
      <w:pPr>
        <w:pStyle w:val="PargrafodaLista"/>
        <w:numPr>
          <w:ilvl w:val="0"/>
          <w:numId w:val="18"/>
        </w:numPr>
        <w:ind w:left="426" w:hanging="284"/>
        <w:rPr>
          <w:lang w:val="pt-PT"/>
        </w:rPr>
      </w:pPr>
      <w:r w:rsidRPr="00FF7074">
        <w:rPr>
          <w:b/>
          <w:bCs/>
          <w:lang w:val="pt-PT"/>
        </w:rPr>
        <w:lastRenderedPageBreak/>
        <w:tab/>
      </w:r>
      <w:proofErr w:type="spellStart"/>
      <w:r w:rsidRPr="00FF7074">
        <w:rPr>
          <w:b/>
          <w:bCs/>
          <w:i/>
          <w:iCs/>
          <w:lang w:val="pt-PT"/>
        </w:rPr>
        <w:t>Technological</w:t>
      </w:r>
      <w:proofErr w:type="spellEnd"/>
      <w:r w:rsidRPr="00FF7074">
        <w:rPr>
          <w:b/>
          <w:bCs/>
          <w:i/>
          <w:iCs/>
          <w:lang w:val="pt-PT"/>
        </w:rPr>
        <w:t xml:space="preserve"> </w:t>
      </w:r>
      <w:proofErr w:type="spellStart"/>
      <w:r w:rsidRPr="00FF7074">
        <w:rPr>
          <w:b/>
          <w:bCs/>
          <w:i/>
          <w:iCs/>
          <w:lang w:val="pt-PT"/>
        </w:rPr>
        <w:t>Intelligence</w:t>
      </w:r>
      <w:proofErr w:type="spellEnd"/>
      <w:r w:rsidR="00473A83" w:rsidRPr="00FF7074">
        <w:rPr>
          <w:b/>
          <w:bCs/>
          <w:lang w:val="pt-PT"/>
        </w:rPr>
        <w:t xml:space="preserve"> </w:t>
      </w:r>
      <w:r w:rsidR="00473A83" w:rsidRPr="00FF7074">
        <w:rPr>
          <w:lang w:val="pt-PT"/>
        </w:rPr>
        <w:t xml:space="preserve">refere-se ao processo de recolha, análise e utilização de informações sobre tecnologias novas e emergentes para obter uma vantagem competitiva num determinado mercado. Isto pode envolver o acompanhamento de tendências, a monitorização da concorrência, a avaliação do impacto potencial das novas tecnologias e o desenvolvimento de estratégias para implementar ou investir nessas tecnologias. </w:t>
      </w:r>
    </w:p>
    <w:p w14:paraId="4B0A4E85" w14:textId="5954179A" w:rsidR="00473A83" w:rsidRPr="00FF7074" w:rsidRDefault="009B0801" w:rsidP="00BB43B5">
      <w:pPr>
        <w:pStyle w:val="PargrafodaLista"/>
        <w:numPr>
          <w:ilvl w:val="0"/>
          <w:numId w:val="18"/>
        </w:numPr>
        <w:ind w:left="426" w:hanging="284"/>
        <w:rPr>
          <w:lang w:val="pt-PT"/>
        </w:rPr>
      </w:pPr>
      <w:r w:rsidRPr="00FF7074">
        <w:rPr>
          <w:b/>
          <w:bCs/>
          <w:i/>
          <w:iCs/>
          <w:lang w:val="pt-PT"/>
        </w:rPr>
        <w:t xml:space="preserve">Future </w:t>
      </w:r>
      <w:proofErr w:type="spellStart"/>
      <w:r w:rsidR="008D1353" w:rsidRPr="00FF7074">
        <w:rPr>
          <w:b/>
          <w:bCs/>
          <w:i/>
          <w:iCs/>
          <w:lang w:val="pt-PT"/>
        </w:rPr>
        <w:t>Analysis</w:t>
      </w:r>
      <w:proofErr w:type="spellEnd"/>
      <w:r w:rsidR="00473A83" w:rsidRPr="00FF7074">
        <w:rPr>
          <w:lang w:val="pt-PT"/>
        </w:rPr>
        <w:t xml:space="preserve">, por outro lado, têm uma visão a mais longo prazo, analisando os </w:t>
      </w:r>
      <w:r w:rsidR="008D1353" w:rsidRPr="00FF7074">
        <w:rPr>
          <w:lang w:val="pt-PT"/>
        </w:rPr>
        <w:t>fatores</w:t>
      </w:r>
      <w:r w:rsidR="00473A83" w:rsidRPr="00FF7074">
        <w:rPr>
          <w:lang w:val="pt-PT"/>
        </w:rPr>
        <w:t xml:space="preserve"> sociais, económicos e ambientais mais amplos que estão a moldar o futuro da tecnologia. Os estudos do futuro envolvem frequentemente o planeamento de cenários, em que são previstos e analisados vários futuros possíveis, e podem recorrer a uma série de disciplinas, como a sociologia, a economia e a ciência política.</w:t>
      </w:r>
    </w:p>
    <w:p w14:paraId="65732173" w14:textId="77777777" w:rsidR="00473A83" w:rsidRPr="00FF7074" w:rsidRDefault="00473A83" w:rsidP="00BB0BE3">
      <w:pPr>
        <w:spacing w:before="0" w:after="0"/>
        <w:ind w:firstLine="0"/>
        <w:jc w:val="center"/>
        <w:rPr>
          <w:lang w:val="pt-PT"/>
        </w:rPr>
      </w:pPr>
      <w:r w:rsidRPr="00FF7074">
        <w:rPr>
          <w:noProof/>
          <w:lang w:val="pt-PT"/>
        </w:rPr>
        <w:drawing>
          <wp:inline distT="0" distB="0" distL="0" distR="0" wp14:anchorId="5AD95C08" wp14:editId="6C0751E0">
            <wp:extent cx="4972050" cy="1625046"/>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a:extLst>
                        <a:ext uri="{28A0092B-C50C-407E-A947-70E740481C1C}">
                          <a14:useLocalDpi xmlns:a14="http://schemas.microsoft.com/office/drawing/2010/main" val="0"/>
                        </a:ext>
                      </a:extLst>
                    </a:blip>
                    <a:srcRect l="8532" t="22197" r="4606" b="39935"/>
                    <a:stretch/>
                  </pic:blipFill>
                  <pic:spPr bwMode="auto">
                    <a:xfrm>
                      <a:off x="0" y="0"/>
                      <a:ext cx="5005888" cy="1636106"/>
                    </a:xfrm>
                    <a:prstGeom prst="rect">
                      <a:avLst/>
                    </a:prstGeom>
                    <a:noFill/>
                    <a:ln>
                      <a:noFill/>
                    </a:ln>
                    <a:extLst>
                      <a:ext uri="{53640926-AAD7-44D8-BBD7-CCE9431645EC}">
                        <a14:shadowObscured xmlns:a14="http://schemas.microsoft.com/office/drawing/2010/main"/>
                      </a:ext>
                    </a:extLst>
                  </pic:spPr>
                </pic:pic>
              </a:graphicData>
            </a:graphic>
          </wp:inline>
        </w:drawing>
      </w:r>
    </w:p>
    <w:p w14:paraId="0CD73084" w14:textId="5BD9D4B4" w:rsidR="00473A83" w:rsidRPr="00FF7074" w:rsidRDefault="009B1076" w:rsidP="00BB0BE3">
      <w:pPr>
        <w:spacing w:before="0" w:after="0" w:line="276" w:lineRule="auto"/>
        <w:ind w:firstLine="0"/>
        <w:jc w:val="center"/>
        <w:rPr>
          <w:i/>
          <w:iCs/>
          <w:color w:val="4B4F54" w:themeColor="text1"/>
          <w:sz w:val="18"/>
          <w:szCs w:val="18"/>
          <w:lang w:val="pt-PT"/>
        </w:rPr>
      </w:pPr>
      <w:r w:rsidRPr="00FF7074">
        <w:rPr>
          <w:rFonts w:eastAsia="Verdana"/>
          <w:i/>
          <w:iCs/>
          <w:color w:val="4B4F54" w:themeColor="text1"/>
          <w:sz w:val="18"/>
          <w:szCs w:val="18"/>
          <w:lang w:val="pt-PT" w:eastAsia="en-US"/>
        </w:rPr>
        <w:t xml:space="preserve">Figura </w:t>
      </w:r>
      <w:r w:rsidRPr="00FF7074">
        <w:rPr>
          <w:rFonts w:eastAsia="Verdana"/>
          <w:i/>
          <w:iCs/>
          <w:color w:val="4B4F54" w:themeColor="text1"/>
          <w:sz w:val="18"/>
          <w:szCs w:val="18"/>
          <w:lang w:val="pt-PT" w:eastAsia="en-US"/>
        </w:rPr>
        <w:fldChar w:fldCharType="begin"/>
      </w:r>
      <w:r w:rsidRPr="00FF7074">
        <w:rPr>
          <w:rFonts w:eastAsia="Verdana"/>
          <w:i/>
          <w:iCs/>
          <w:color w:val="4B4F54" w:themeColor="text1"/>
          <w:sz w:val="18"/>
          <w:szCs w:val="18"/>
          <w:lang w:val="pt-PT" w:eastAsia="en-US"/>
        </w:rPr>
        <w:instrText xml:space="preserve"> SEQ Figura \* ARABIC </w:instrText>
      </w:r>
      <w:r w:rsidRPr="00FF7074">
        <w:rPr>
          <w:rFonts w:eastAsia="Verdana"/>
          <w:i/>
          <w:iCs/>
          <w:color w:val="4B4F54" w:themeColor="text1"/>
          <w:sz w:val="18"/>
          <w:szCs w:val="18"/>
          <w:lang w:val="pt-PT" w:eastAsia="en-US"/>
        </w:rPr>
        <w:fldChar w:fldCharType="separate"/>
      </w:r>
      <w:r w:rsidR="008617AF">
        <w:rPr>
          <w:rFonts w:eastAsia="Verdana"/>
          <w:i/>
          <w:iCs/>
          <w:noProof/>
          <w:color w:val="4B4F54" w:themeColor="text1"/>
          <w:sz w:val="18"/>
          <w:szCs w:val="18"/>
          <w:lang w:val="pt-PT" w:eastAsia="en-US"/>
        </w:rPr>
        <w:t>8</w:t>
      </w:r>
      <w:r w:rsidRPr="00FF7074">
        <w:rPr>
          <w:rFonts w:eastAsia="Verdana"/>
          <w:i/>
          <w:iCs/>
          <w:color w:val="4B4F54" w:themeColor="text1"/>
          <w:sz w:val="18"/>
          <w:szCs w:val="18"/>
          <w:lang w:val="pt-PT" w:eastAsia="en-US"/>
        </w:rPr>
        <w:fldChar w:fldCharType="end"/>
      </w:r>
      <w:r w:rsidR="00473A83" w:rsidRPr="00FF7074">
        <w:rPr>
          <w:i/>
          <w:iCs/>
          <w:color w:val="4B4F54" w:themeColor="text1"/>
          <w:sz w:val="18"/>
          <w:szCs w:val="18"/>
          <w:lang w:val="pt-PT"/>
        </w:rPr>
        <w:t xml:space="preserve">: Classificação científica dos termos relacionados com o </w:t>
      </w:r>
      <w:r w:rsidR="008D1353" w:rsidRPr="00FF7074">
        <w:rPr>
          <w:i/>
          <w:color w:val="4B4F54" w:themeColor="text1"/>
          <w:sz w:val="18"/>
          <w:szCs w:val="18"/>
          <w:lang w:val="pt-PT"/>
        </w:rPr>
        <w:t>ETS</w:t>
      </w:r>
      <w:r w:rsidR="009B0801" w:rsidRPr="00FF7074">
        <w:rPr>
          <w:i/>
          <w:iCs/>
          <w:color w:val="4B4F54" w:themeColor="text1"/>
          <w:sz w:val="18"/>
          <w:szCs w:val="18"/>
          <w:lang w:val="pt-PT"/>
        </w:rPr>
        <w:t>.</w:t>
      </w:r>
    </w:p>
    <w:p w14:paraId="366CF578" w14:textId="193F0435" w:rsidR="00473A83" w:rsidRPr="00BB49FE" w:rsidRDefault="00473A83" w:rsidP="00445B7B">
      <w:pPr>
        <w:spacing w:after="0" w:line="276" w:lineRule="auto"/>
        <w:ind w:firstLine="0"/>
        <w:jc w:val="center"/>
        <w:rPr>
          <w:i/>
          <w:iCs/>
          <w:sz w:val="16"/>
          <w:szCs w:val="16"/>
          <w:lang w:val="en-GB"/>
        </w:rPr>
      </w:pPr>
      <w:r w:rsidRPr="00BB49FE">
        <w:rPr>
          <w:i/>
          <w:iCs/>
          <w:sz w:val="16"/>
          <w:szCs w:val="16"/>
          <w:lang w:val="en-GB"/>
        </w:rPr>
        <w:t xml:space="preserve">Fonte: "External technology searching methods - a literature review" (2019), com base </w:t>
      </w:r>
      <w:proofErr w:type="spellStart"/>
      <w:r w:rsidRPr="00BB49FE">
        <w:rPr>
          <w:i/>
          <w:iCs/>
          <w:sz w:val="16"/>
          <w:szCs w:val="16"/>
          <w:lang w:val="en-GB"/>
        </w:rPr>
        <w:t>em</w:t>
      </w:r>
      <w:proofErr w:type="spellEnd"/>
      <w:r w:rsidRPr="00BB49FE">
        <w:rPr>
          <w:i/>
          <w:iCs/>
          <w:sz w:val="16"/>
          <w:szCs w:val="16"/>
          <w:lang w:val="en-GB"/>
        </w:rPr>
        <w:t xml:space="preserve"> </w:t>
      </w:r>
      <w:proofErr w:type="spellStart"/>
      <w:r w:rsidRPr="00BB49FE">
        <w:rPr>
          <w:i/>
          <w:iCs/>
          <w:sz w:val="16"/>
          <w:szCs w:val="16"/>
          <w:lang w:val="en-GB"/>
        </w:rPr>
        <w:t>Rohrbeck</w:t>
      </w:r>
      <w:proofErr w:type="spellEnd"/>
      <w:r w:rsidRPr="00BB49FE">
        <w:rPr>
          <w:i/>
          <w:iCs/>
          <w:sz w:val="16"/>
          <w:szCs w:val="16"/>
          <w:lang w:val="en-GB"/>
        </w:rPr>
        <w:t xml:space="preserve"> (2007)</w:t>
      </w:r>
      <w:r w:rsidR="009B0801" w:rsidRPr="00BB49FE">
        <w:rPr>
          <w:i/>
          <w:iCs/>
          <w:sz w:val="16"/>
          <w:szCs w:val="16"/>
          <w:lang w:val="en-GB"/>
        </w:rPr>
        <w:t>.</w:t>
      </w:r>
    </w:p>
    <w:p w14:paraId="0D11DB4E" w14:textId="77777777" w:rsidR="00473A83" w:rsidRPr="00BB49FE" w:rsidRDefault="00473A83" w:rsidP="00DC0A7E">
      <w:pPr>
        <w:ind w:firstLine="0"/>
        <w:rPr>
          <w:sz w:val="10"/>
          <w:szCs w:val="10"/>
          <w:lang w:val="en-GB"/>
        </w:rPr>
      </w:pPr>
    </w:p>
    <w:p w14:paraId="01170998" w14:textId="4DBDB136" w:rsidR="00473A83" w:rsidRPr="00FF7074" w:rsidRDefault="00473A83" w:rsidP="009B0801">
      <w:pPr>
        <w:ind w:firstLine="0"/>
        <w:rPr>
          <w:b/>
          <w:bCs/>
          <w:lang w:val="pt-PT"/>
        </w:rPr>
      </w:pPr>
      <w:r w:rsidRPr="00FF7074">
        <w:rPr>
          <w:b/>
          <w:bCs/>
          <w:lang w:val="pt-PT"/>
        </w:rPr>
        <w:t xml:space="preserve">O que é </w:t>
      </w:r>
      <w:r w:rsidR="005D3BCF" w:rsidRPr="00FF7074">
        <w:rPr>
          <w:b/>
          <w:bCs/>
          <w:lang w:val="pt-PT"/>
        </w:rPr>
        <w:t>o</w:t>
      </w:r>
      <w:r w:rsidRPr="00FF7074">
        <w:rPr>
          <w:b/>
          <w:bCs/>
          <w:lang w:val="pt-PT"/>
        </w:rPr>
        <w:t xml:space="preserve"> </w:t>
      </w:r>
      <w:r w:rsidR="005D3BCF" w:rsidRPr="00FF7074">
        <w:rPr>
          <w:b/>
          <w:bCs/>
          <w:i/>
          <w:lang w:val="pt-PT"/>
        </w:rPr>
        <w:t>scouting</w:t>
      </w:r>
      <w:r w:rsidR="005D3BCF" w:rsidRPr="00FF7074">
        <w:rPr>
          <w:b/>
          <w:bCs/>
          <w:lang w:val="pt-PT"/>
        </w:rPr>
        <w:t xml:space="preserve"> tecnológico</w:t>
      </w:r>
      <w:r w:rsidRPr="00FF7074">
        <w:rPr>
          <w:b/>
          <w:bCs/>
          <w:lang w:val="pt-PT"/>
        </w:rPr>
        <w:t>?</w:t>
      </w:r>
    </w:p>
    <w:p w14:paraId="6BD7BFEB" w14:textId="3347D2BA" w:rsidR="00473A83" w:rsidRPr="00FF7074" w:rsidRDefault="005D3BCF" w:rsidP="009B0801">
      <w:pPr>
        <w:ind w:firstLine="0"/>
        <w:rPr>
          <w:lang w:val="pt-PT"/>
        </w:rPr>
      </w:pPr>
      <w:r w:rsidRPr="00FF7074">
        <w:rPr>
          <w:lang w:val="pt-PT"/>
        </w:rPr>
        <w:t xml:space="preserve">O </w:t>
      </w:r>
      <w:r w:rsidRPr="00FF7074">
        <w:rPr>
          <w:i/>
          <w:lang w:val="pt-PT"/>
        </w:rPr>
        <w:t>scouting</w:t>
      </w:r>
      <w:r w:rsidRPr="00FF7074">
        <w:rPr>
          <w:lang w:val="pt-PT"/>
        </w:rPr>
        <w:t xml:space="preserve"> tecnológico</w:t>
      </w:r>
      <w:r w:rsidR="00473A83" w:rsidRPr="00FF7074">
        <w:rPr>
          <w:lang w:val="pt-PT"/>
        </w:rPr>
        <w:t xml:space="preserve"> é o processo sistemático de procura e identificação de tecnologias e inovações externas que podem ser integradas nas ofertas de produtos ou serviços de uma empresa, bem como a identificação de novas oportunidades de mercado e potenciais parceiros para colaboração.</w:t>
      </w:r>
    </w:p>
    <w:p w14:paraId="4EEA80F3" w14:textId="228F2422" w:rsidR="00473A83" w:rsidRPr="00FF7074" w:rsidRDefault="00473A83" w:rsidP="009B0801">
      <w:pPr>
        <w:ind w:firstLine="0"/>
        <w:rPr>
          <w:lang w:val="pt-PT"/>
        </w:rPr>
      </w:pPr>
      <w:r w:rsidRPr="00FF7074">
        <w:rPr>
          <w:lang w:val="pt-PT"/>
        </w:rPr>
        <w:t xml:space="preserve">Num contexto de inovação aberta, </w:t>
      </w:r>
      <w:r w:rsidR="005D3BCF" w:rsidRPr="00FF7074">
        <w:rPr>
          <w:lang w:val="pt-PT"/>
        </w:rPr>
        <w:t xml:space="preserve">o </w:t>
      </w:r>
      <w:r w:rsidR="005D3BCF" w:rsidRPr="00FF7074">
        <w:rPr>
          <w:i/>
          <w:lang w:val="pt-PT"/>
        </w:rPr>
        <w:t>scouting</w:t>
      </w:r>
      <w:r w:rsidR="005D3BCF" w:rsidRPr="00FF7074">
        <w:rPr>
          <w:lang w:val="pt-PT"/>
        </w:rPr>
        <w:t xml:space="preserve"> tecnológico</w:t>
      </w:r>
      <w:r w:rsidRPr="00FF7074">
        <w:rPr>
          <w:lang w:val="pt-PT"/>
        </w:rPr>
        <w:t xml:space="preserve"> envolve a procura </w:t>
      </w:r>
      <w:r w:rsidR="008D1353" w:rsidRPr="00FF7074">
        <w:rPr>
          <w:lang w:val="pt-PT"/>
        </w:rPr>
        <w:t>ativa</w:t>
      </w:r>
      <w:r w:rsidRPr="00FF7074">
        <w:rPr>
          <w:lang w:val="pt-PT"/>
        </w:rPr>
        <w:t xml:space="preserve"> de fontes externas de inovação, incluindo empresas em fase de arranque, instituições de investigação, fornecedores e clientes. O </w:t>
      </w:r>
      <w:r w:rsidR="008D1353" w:rsidRPr="00FF7074">
        <w:rPr>
          <w:lang w:val="pt-PT"/>
        </w:rPr>
        <w:t>objetivo</w:t>
      </w:r>
      <w:r w:rsidRPr="00FF7074">
        <w:rPr>
          <w:lang w:val="pt-PT"/>
        </w:rPr>
        <w:t xml:space="preserve"> é identificar tecnologias novas e emergentes que possam ajudar a resolver desafios empresariais, melhorar as características de produtos ou serviços ou </w:t>
      </w:r>
      <w:proofErr w:type="gramStart"/>
      <w:r w:rsidRPr="00FF7074">
        <w:rPr>
          <w:lang w:val="pt-PT"/>
        </w:rPr>
        <w:t>criar novas</w:t>
      </w:r>
      <w:proofErr w:type="gramEnd"/>
      <w:r w:rsidRPr="00FF7074">
        <w:rPr>
          <w:lang w:val="pt-PT"/>
        </w:rPr>
        <w:t xml:space="preserve"> oportunidades de mercado. </w:t>
      </w:r>
      <w:r w:rsidR="005D3BCF" w:rsidRPr="00FF7074">
        <w:rPr>
          <w:lang w:val="pt-PT"/>
        </w:rPr>
        <w:t xml:space="preserve">O </w:t>
      </w:r>
      <w:r w:rsidR="005D3BCF" w:rsidRPr="00FF7074">
        <w:rPr>
          <w:i/>
          <w:lang w:val="pt-PT"/>
        </w:rPr>
        <w:t>scouting</w:t>
      </w:r>
      <w:r w:rsidR="005D3BCF" w:rsidRPr="00FF7074">
        <w:rPr>
          <w:lang w:val="pt-PT"/>
        </w:rPr>
        <w:t xml:space="preserve"> tecnológico</w:t>
      </w:r>
      <w:r w:rsidRPr="00FF7074">
        <w:rPr>
          <w:lang w:val="pt-PT"/>
        </w:rPr>
        <w:t xml:space="preserve"> envolve frequentemente uma combinação de pesquisa em linha, participação em eventos e conferências do sector e trabalho em rede com potenciais parceiros.</w:t>
      </w:r>
    </w:p>
    <w:p w14:paraId="1561C2EC" w14:textId="2C9B021D" w:rsidR="00473A83" w:rsidRPr="00FF7074" w:rsidRDefault="005D3BCF" w:rsidP="009B0801">
      <w:pPr>
        <w:ind w:firstLine="0"/>
        <w:rPr>
          <w:lang w:val="pt-PT"/>
        </w:rPr>
      </w:pPr>
      <w:r w:rsidRPr="00FF7074">
        <w:rPr>
          <w:lang w:val="pt-PT"/>
        </w:rPr>
        <w:t xml:space="preserve">O </w:t>
      </w:r>
      <w:r w:rsidRPr="00FF7074">
        <w:rPr>
          <w:i/>
          <w:lang w:val="pt-PT"/>
        </w:rPr>
        <w:t>scouting</w:t>
      </w:r>
      <w:r w:rsidRPr="00FF7074">
        <w:rPr>
          <w:lang w:val="pt-PT"/>
        </w:rPr>
        <w:t xml:space="preserve"> tecnológico</w:t>
      </w:r>
      <w:r w:rsidR="00473A83" w:rsidRPr="00FF7074">
        <w:rPr>
          <w:lang w:val="pt-PT"/>
        </w:rPr>
        <w:t xml:space="preserve"> é importante para as empresas e organizações que pretendem manter-se à frente da curva e permanecer competitivas nos seus sectores. Ao identificar e </w:t>
      </w:r>
      <w:r w:rsidR="00473A83" w:rsidRPr="00FF7074">
        <w:rPr>
          <w:lang w:val="pt-PT"/>
        </w:rPr>
        <w:lastRenderedPageBreak/>
        <w:t xml:space="preserve">integrar tecnologias e inovações externas, as empresas podem melhorar os seus produtos e serviços, reduzir os custos de I&amp;D e acelerar o tempo de colocação no mercado. Num contexto de inovação aberta, </w:t>
      </w:r>
      <w:r w:rsidRPr="00FF7074">
        <w:rPr>
          <w:lang w:val="pt-PT"/>
        </w:rPr>
        <w:t xml:space="preserve">o </w:t>
      </w:r>
      <w:r w:rsidRPr="00FF7074">
        <w:rPr>
          <w:i/>
          <w:lang w:val="pt-PT"/>
        </w:rPr>
        <w:t>scouting</w:t>
      </w:r>
      <w:r w:rsidRPr="00FF7074">
        <w:rPr>
          <w:lang w:val="pt-PT"/>
        </w:rPr>
        <w:t xml:space="preserve"> tecnológico</w:t>
      </w:r>
      <w:r w:rsidR="00473A83" w:rsidRPr="00FF7074">
        <w:rPr>
          <w:lang w:val="pt-PT"/>
        </w:rPr>
        <w:t xml:space="preserve"> pode também conduzir a novos modelos de negócio, parcerias estratégicas e colaborações que podem impulsionar o crescimento e o sucesso a longo prazo.</w:t>
      </w:r>
    </w:p>
    <w:p w14:paraId="627F86A3" w14:textId="70121D46" w:rsidR="00473A83" w:rsidRPr="00FF7074" w:rsidRDefault="005D3BCF" w:rsidP="007276A4">
      <w:pPr>
        <w:ind w:firstLine="0"/>
        <w:rPr>
          <w:lang w:val="pt-PT"/>
        </w:rPr>
      </w:pPr>
      <w:r w:rsidRPr="00FF7074">
        <w:rPr>
          <w:lang w:val="pt-PT"/>
        </w:rPr>
        <w:t xml:space="preserve">O </w:t>
      </w:r>
      <w:r w:rsidRPr="00FF7074">
        <w:rPr>
          <w:i/>
          <w:lang w:val="pt-PT"/>
        </w:rPr>
        <w:t>scouting</w:t>
      </w:r>
      <w:r w:rsidRPr="00FF7074">
        <w:rPr>
          <w:lang w:val="pt-PT"/>
        </w:rPr>
        <w:t xml:space="preserve"> tecnológico</w:t>
      </w:r>
      <w:r w:rsidR="00473A83" w:rsidRPr="00FF7074">
        <w:rPr>
          <w:lang w:val="pt-PT"/>
        </w:rPr>
        <w:t xml:space="preserve"> pode proporcionar uma variedade de benefícios para as organizações, incluindo:</w:t>
      </w:r>
    </w:p>
    <w:p w14:paraId="515D102D" w14:textId="42BC42AB" w:rsidR="00473A83" w:rsidRPr="00FF7074" w:rsidRDefault="00473A83" w:rsidP="00BB43B5">
      <w:pPr>
        <w:pStyle w:val="PargrafodaLista"/>
        <w:numPr>
          <w:ilvl w:val="0"/>
          <w:numId w:val="19"/>
        </w:numPr>
        <w:spacing w:before="0"/>
        <w:ind w:left="714" w:hanging="357"/>
        <w:rPr>
          <w:lang w:val="pt-PT"/>
        </w:rPr>
      </w:pPr>
      <w:r w:rsidRPr="00FF7074">
        <w:rPr>
          <w:b/>
          <w:bCs/>
          <w:i/>
          <w:iCs/>
          <w:lang w:val="pt-PT"/>
        </w:rPr>
        <w:t>Vantagem competitiva</w:t>
      </w:r>
      <w:r w:rsidRPr="00FF7074">
        <w:rPr>
          <w:lang w:val="pt-PT"/>
        </w:rPr>
        <w:t xml:space="preserve">: Ao manterem-se </w:t>
      </w:r>
      <w:r w:rsidR="008D1353" w:rsidRPr="00FF7074">
        <w:rPr>
          <w:lang w:val="pt-PT"/>
        </w:rPr>
        <w:t>atualizadas</w:t>
      </w:r>
      <w:r w:rsidRPr="00FF7074">
        <w:rPr>
          <w:lang w:val="pt-PT"/>
        </w:rPr>
        <w:t xml:space="preserve"> com as tecnologias mais recentes e ao identificarem as tendências emergentes, as organizações podem obter uma vantagem competitiva sobre os seus rivais.</w:t>
      </w:r>
    </w:p>
    <w:p w14:paraId="7A427CF0" w14:textId="6EB533D7" w:rsidR="00473A83" w:rsidRPr="00FF7074" w:rsidRDefault="00473A83" w:rsidP="00BB43B5">
      <w:pPr>
        <w:pStyle w:val="PargrafodaLista"/>
        <w:numPr>
          <w:ilvl w:val="0"/>
          <w:numId w:val="19"/>
        </w:numPr>
        <w:spacing w:before="0"/>
        <w:ind w:left="714" w:hanging="357"/>
        <w:rPr>
          <w:lang w:val="pt-PT"/>
        </w:rPr>
      </w:pPr>
      <w:r w:rsidRPr="00FF7074">
        <w:rPr>
          <w:b/>
          <w:bCs/>
          <w:i/>
          <w:iCs/>
          <w:lang w:val="pt-PT"/>
        </w:rPr>
        <w:t>Inovação</w:t>
      </w:r>
      <w:r w:rsidRPr="00FF7074">
        <w:rPr>
          <w:lang w:val="pt-PT"/>
        </w:rPr>
        <w:t xml:space="preserve">: </w:t>
      </w:r>
      <w:r w:rsidR="005D3BCF" w:rsidRPr="00FF7074">
        <w:rPr>
          <w:lang w:val="pt-PT"/>
        </w:rPr>
        <w:t xml:space="preserve">O </w:t>
      </w:r>
      <w:r w:rsidR="005D3BCF" w:rsidRPr="00FF7074">
        <w:rPr>
          <w:i/>
          <w:lang w:val="pt-PT"/>
        </w:rPr>
        <w:t>scouting</w:t>
      </w:r>
      <w:r w:rsidR="005D3BCF" w:rsidRPr="00FF7074">
        <w:rPr>
          <w:lang w:val="pt-PT"/>
        </w:rPr>
        <w:t xml:space="preserve"> tecnológico</w:t>
      </w:r>
      <w:r w:rsidRPr="00FF7074">
        <w:rPr>
          <w:lang w:val="pt-PT"/>
        </w:rPr>
        <w:t xml:space="preserve"> pode ajudar as organizações a identificar ideias novas e inovadoras que podem ser utilizadas para melhorar os seus produtos ou serviços.</w:t>
      </w:r>
    </w:p>
    <w:p w14:paraId="63C00749" w14:textId="77777777" w:rsidR="00473A83" w:rsidRPr="00FF7074" w:rsidRDefault="00473A83" w:rsidP="00BB43B5">
      <w:pPr>
        <w:pStyle w:val="PargrafodaLista"/>
        <w:numPr>
          <w:ilvl w:val="0"/>
          <w:numId w:val="19"/>
        </w:numPr>
        <w:spacing w:before="0"/>
        <w:ind w:left="714" w:hanging="357"/>
        <w:rPr>
          <w:lang w:val="pt-PT"/>
        </w:rPr>
      </w:pPr>
      <w:r w:rsidRPr="00FF7074">
        <w:rPr>
          <w:b/>
          <w:bCs/>
          <w:i/>
          <w:iCs/>
          <w:lang w:val="pt-PT"/>
        </w:rPr>
        <w:t>Poupança de custos</w:t>
      </w:r>
      <w:r w:rsidRPr="00FF7074">
        <w:rPr>
          <w:lang w:val="pt-PT"/>
        </w:rPr>
        <w:t>: Ao identificar tecnologias que podem simplificar as operações ou reduzir os custos, as organizações podem poupar dinheiro a longo prazo.</w:t>
      </w:r>
    </w:p>
    <w:p w14:paraId="58E45E59" w14:textId="77777777" w:rsidR="00473A83" w:rsidRPr="00FF7074" w:rsidRDefault="00473A83" w:rsidP="00BB43B5">
      <w:pPr>
        <w:pStyle w:val="PargrafodaLista"/>
        <w:numPr>
          <w:ilvl w:val="0"/>
          <w:numId w:val="19"/>
        </w:numPr>
        <w:spacing w:before="0"/>
        <w:ind w:left="714" w:hanging="357"/>
        <w:rPr>
          <w:lang w:val="pt-PT"/>
        </w:rPr>
      </w:pPr>
      <w:r w:rsidRPr="00FF7074">
        <w:rPr>
          <w:b/>
          <w:bCs/>
          <w:i/>
          <w:iCs/>
          <w:lang w:val="pt-PT"/>
        </w:rPr>
        <w:t>Melhoria da tomada de decisões</w:t>
      </w:r>
      <w:r w:rsidRPr="00FF7074">
        <w:rPr>
          <w:lang w:val="pt-PT"/>
        </w:rPr>
        <w:t>: Ao recolher informações sobre tecnologias emergentes e tendências do sector, as organizações podem tomar decisões mais informadas sobre as suas estratégias futuras.</w:t>
      </w:r>
    </w:p>
    <w:p w14:paraId="4C046C93" w14:textId="710FBEF4" w:rsidR="00473A83" w:rsidRPr="00FF7074" w:rsidRDefault="00473A83" w:rsidP="00BB43B5">
      <w:pPr>
        <w:pStyle w:val="PargrafodaLista"/>
        <w:numPr>
          <w:ilvl w:val="0"/>
          <w:numId w:val="19"/>
        </w:numPr>
        <w:spacing w:before="0"/>
        <w:ind w:left="714" w:hanging="357"/>
        <w:rPr>
          <w:lang w:val="pt-PT"/>
        </w:rPr>
      </w:pPr>
      <w:r w:rsidRPr="00FF7074">
        <w:rPr>
          <w:b/>
          <w:bCs/>
          <w:i/>
          <w:iCs/>
          <w:lang w:val="pt-PT"/>
        </w:rPr>
        <w:t>Parcerias e colaborações</w:t>
      </w:r>
      <w:r w:rsidRPr="00FF7074">
        <w:rPr>
          <w:lang w:val="pt-PT"/>
        </w:rPr>
        <w:t xml:space="preserve">: </w:t>
      </w:r>
      <w:r w:rsidR="005D3BCF" w:rsidRPr="00FF7074">
        <w:rPr>
          <w:lang w:val="pt-PT"/>
        </w:rPr>
        <w:t xml:space="preserve">O </w:t>
      </w:r>
      <w:r w:rsidR="005D3BCF" w:rsidRPr="00FF7074">
        <w:rPr>
          <w:i/>
          <w:lang w:val="pt-PT"/>
        </w:rPr>
        <w:t>scouting</w:t>
      </w:r>
      <w:r w:rsidR="005D3BCF" w:rsidRPr="00FF7074">
        <w:rPr>
          <w:lang w:val="pt-PT"/>
        </w:rPr>
        <w:t xml:space="preserve"> tecnológico</w:t>
      </w:r>
      <w:r w:rsidRPr="00FF7074">
        <w:rPr>
          <w:lang w:val="pt-PT"/>
        </w:rPr>
        <w:t xml:space="preserve"> também pode ajudar as organizações a identificar potenciais parceiros ou colaboradores que as possam ajudar a desenvolver novos produtos ou a expandir o seu negócio.</w:t>
      </w:r>
    </w:p>
    <w:p w14:paraId="60C620FC" w14:textId="77777777" w:rsidR="00473A83" w:rsidRPr="00FF7074" w:rsidRDefault="00473A83" w:rsidP="00BB43B5">
      <w:pPr>
        <w:pStyle w:val="PargrafodaLista"/>
        <w:numPr>
          <w:ilvl w:val="0"/>
          <w:numId w:val="19"/>
        </w:numPr>
        <w:spacing w:before="0"/>
        <w:ind w:left="714" w:hanging="357"/>
        <w:rPr>
          <w:lang w:val="pt-PT"/>
        </w:rPr>
      </w:pPr>
      <w:r w:rsidRPr="00FF7074">
        <w:rPr>
          <w:b/>
          <w:bCs/>
          <w:i/>
          <w:iCs/>
          <w:lang w:val="pt-PT"/>
        </w:rPr>
        <w:t>Gestão de riscos</w:t>
      </w:r>
      <w:r w:rsidRPr="00FF7074">
        <w:rPr>
          <w:lang w:val="pt-PT"/>
        </w:rPr>
        <w:t>: Ao monitorizar as tecnologias e tendências emergentes, as organizações podem identificar potenciais riscos e tomar medidas para os atenuar antes que se tornem problemas graves.</w:t>
      </w:r>
    </w:p>
    <w:p w14:paraId="3F97B90F" w14:textId="77777777" w:rsidR="009B0801" w:rsidRPr="00FF7074" w:rsidRDefault="009B0801" w:rsidP="007276A4">
      <w:pPr>
        <w:ind w:firstLine="0"/>
        <w:rPr>
          <w:sz w:val="4"/>
          <w:szCs w:val="4"/>
          <w:lang w:val="pt-PT"/>
        </w:rPr>
      </w:pPr>
    </w:p>
    <w:p w14:paraId="25FAF717" w14:textId="5B7FBAF7" w:rsidR="00473A83" w:rsidRPr="00FF7074" w:rsidRDefault="00473A83" w:rsidP="007276A4">
      <w:pPr>
        <w:ind w:firstLine="0"/>
        <w:rPr>
          <w:lang w:val="pt-PT"/>
        </w:rPr>
      </w:pPr>
      <w:r w:rsidRPr="00FF7074">
        <w:rPr>
          <w:lang w:val="pt-PT"/>
        </w:rPr>
        <w:t xml:space="preserve">Em geral, </w:t>
      </w:r>
      <w:r w:rsidR="005D3BCF" w:rsidRPr="00FF7074">
        <w:rPr>
          <w:lang w:val="pt-PT"/>
        </w:rPr>
        <w:t xml:space="preserve">o </w:t>
      </w:r>
      <w:r w:rsidR="005D3BCF" w:rsidRPr="00FF7074">
        <w:rPr>
          <w:i/>
          <w:lang w:val="pt-PT"/>
        </w:rPr>
        <w:t>scouting</w:t>
      </w:r>
      <w:r w:rsidR="005D3BCF" w:rsidRPr="00FF7074">
        <w:rPr>
          <w:lang w:val="pt-PT"/>
        </w:rPr>
        <w:t xml:space="preserve"> tecnológico</w:t>
      </w:r>
      <w:r w:rsidRPr="00FF7074">
        <w:rPr>
          <w:lang w:val="pt-PT"/>
        </w:rPr>
        <w:t xml:space="preserve"> pode ajudar as organizações a manterem-se competitivas, a impulsionarem a inovação e a tomarem melhores decisões sobre as suas estratégias futuras.</w:t>
      </w:r>
    </w:p>
    <w:p w14:paraId="4E347869" w14:textId="77777777" w:rsidR="009B0801" w:rsidRPr="00FF7074" w:rsidRDefault="009B0801" w:rsidP="009B0801">
      <w:pPr>
        <w:ind w:firstLine="0"/>
        <w:rPr>
          <w:sz w:val="4"/>
          <w:szCs w:val="4"/>
          <w:lang w:val="pt-PT"/>
        </w:rPr>
      </w:pPr>
    </w:p>
    <w:p w14:paraId="27E5E7F4" w14:textId="21BAA18C" w:rsidR="00473A83" w:rsidRPr="00FF7074" w:rsidRDefault="00473A83" w:rsidP="009B0801">
      <w:pPr>
        <w:ind w:firstLine="0"/>
        <w:rPr>
          <w:b/>
          <w:bCs/>
          <w:lang w:val="pt-PT"/>
        </w:rPr>
      </w:pPr>
      <w:r w:rsidRPr="00FF7074">
        <w:rPr>
          <w:b/>
          <w:bCs/>
          <w:lang w:val="pt-PT"/>
        </w:rPr>
        <w:t xml:space="preserve">Relação entre </w:t>
      </w:r>
      <w:r w:rsidR="009B0801" w:rsidRPr="00FF7074">
        <w:rPr>
          <w:b/>
          <w:bCs/>
          <w:i/>
          <w:iCs/>
          <w:lang w:val="pt-PT"/>
        </w:rPr>
        <w:t>scouting</w:t>
      </w:r>
      <w:r w:rsidRPr="00FF7074">
        <w:rPr>
          <w:b/>
          <w:bCs/>
          <w:lang w:val="pt-PT"/>
        </w:rPr>
        <w:t xml:space="preserve"> tecnológic</w:t>
      </w:r>
      <w:r w:rsidR="009B0801" w:rsidRPr="00FF7074">
        <w:rPr>
          <w:b/>
          <w:bCs/>
          <w:lang w:val="pt-PT"/>
        </w:rPr>
        <w:t>o</w:t>
      </w:r>
      <w:r w:rsidRPr="00FF7074">
        <w:rPr>
          <w:b/>
          <w:bCs/>
          <w:lang w:val="pt-PT"/>
        </w:rPr>
        <w:t>, inteligência tecnológica e gestão tecnológica</w:t>
      </w:r>
    </w:p>
    <w:p w14:paraId="3A0030C4" w14:textId="2C8920A4" w:rsidR="00473A83" w:rsidRPr="00FF7074" w:rsidRDefault="00473A83" w:rsidP="009B0801">
      <w:pPr>
        <w:ind w:firstLine="0"/>
        <w:rPr>
          <w:lang w:val="pt-PT"/>
        </w:rPr>
      </w:pPr>
      <w:r w:rsidRPr="00FF7074">
        <w:rPr>
          <w:lang w:val="pt-PT"/>
        </w:rPr>
        <w:t xml:space="preserve">O conceito de </w:t>
      </w:r>
      <w:r w:rsidR="009B0801" w:rsidRPr="00FF7074">
        <w:rPr>
          <w:i/>
          <w:iCs/>
          <w:lang w:val="pt-PT"/>
        </w:rPr>
        <w:t>scouting</w:t>
      </w:r>
      <w:r w:rsidRPr="00FF7074">
        <w:rPr>
          <w:lang w:val="pt-PT"/>
        </w:rPr>
        <w:t xml:space="preserve"> tecnológic</w:t>
      </w:r>
      <w:r w:rsidR="009B0801" w:rsidRPr="00FF7074">
        <w:rPr>
          <w:lang w:val="pt-PT"/>
        </w:rPr>
        <w:t>o</w:t>
      </w:r>
      <w:r w:rsidRPr="00FF7074">
        <w:rPr>
          <w:lang w:val="pt-PT"/>
        </w:rPr>
        <w:t xml:space="preserve"> está intimamente relacionado com a </w:t>
      </w:r>
      <w:r w:rsidR="009B0801" w:rsidRPr="00FF7074">
        <w:rPr>
          <w:lang w:val="pt-PT"/>
        </w:rPr>
        <w:t>i</w:t>
      </w:r>
      <w:r w:rsidRPr="00FF7074">
        <w:rPr>
          <w:lang w:val="pt-PT"/>
        </w:rPr>
        <w:t xml:space="preserve">nteligência </w:t>
      </w:r>
      <w:r w:rsidR="009B0801" w:rsidRPr="00FF7074">
        <w:rPr>
          <w:lang w:val="pt-PT"/>
        </w:rPr>
        <w:t>t</w:t>
      </w:r>
      <w:r w:rsidRPr="00FF7074">
        <w:rPr>
          <w:lang w:val="pt-PT"/>
        </w:rPr>
        <w:t xml:space="preserve">ecnológica e a </w:t>
      </w:r>
      <w:r w:rsidR="009B0801" w:rsidRPr="00FF7074">
        <w:rPr>
          <w:lang w:val="pt-PT"/>
        </w:rPr>
        <w:t>g</w:t>
      </w:r>
      <w:r w:rsidRPr="00FF7074">
        <w:rPr>
          <w:lang w:val="pt-PT"/>
        </w:rPr>
        <w:t xml:space="preserve">estão </w:t>
      </w:r>
      <w:r w:rsidR="009B0801" w:rsidRPr="00FF7074">
        <w:rPr>
          <w:lang w:val="pt-PT"/>
        </w:rPr>
        <w:t>t</w:t>
      </w:r>
      <w:r w:rsidRPr="00FF7074">
        <w:rPr>
          <w:lang w:val="pt-PT"/>
        </w:rPr>
        <w:t xml:space="preserve">ecnológica. A Figura </w:t>
      </w:r>
      <w:r w:rsidR="0074598F" w:rsidRPr="00FF7074">
        <w:rPr>
          <w:lang w:val="pt-PT"/>
        </w:rPr>
        <w:t>9</w:t>
      </w:r>
      <w:r w:rsidRPr="00FF7074">
        <w:rPr>
          <w:lang w:val="pt-PT"/>
        </w:rPr>
        <w:t xml:space="preserve"> de </w:t>
      </w:r>
      <w:proofErr w:type="spellStart"/>
      <w:r w:rsidRPr="00FF7074">
        <w:rPr>
          <w:lang w:val="pt-PT"/>
        </w:rPr>
        <w:t>Rohrbeck</w:t>
      </w:r>
      <w:proofErr w:type="spellEnd"/>
      <w:r w:rsidRPr="00FF7074">
        <w:rPr>
          <w:lang w:val="pt-PT"/>
        </w:rPr>
        <w:t xml:space="preserve"> (2007) ajuda a compreender as sinergias entre estes três elementos.</w:t>
      </w:r>
    </w:p>
    <w:p w14:paraId="345BA0BA" w14:textId="77777777" w:rsidR="00473A83" w:rsidRPr="00FF7074" w:rsidRDefault="00473A83" w:rsidP="00473A83">
      <w:pPr>
        <w:jc w:val="center"/>
        <w:rPr>
          <w:lang w:val="pt-PT"/>
        </w:rPr>
      </w:pPr>
      <w:r w:rsidRPr="00FF7074">
        <w:rPr>
          <w:noProof/>
          <w:lang w:val="pt-PT"/>
        </w:rPr>
        <w:lastRenderedPageBreak/>
        <w:drawing>
          <wp:inline distT="0" distB="0" distL="0" distR="0" wp14:anchorId="7816B83E" wp14:editId="1AA723A1">
            <wp:extent cx="5131427" cy="3124457"/>
            <wp:effectExtent l="0" t="0" r="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a:extLst>
                        <a:ext uri="{28A0092B-C50C-407E-A947-70E740481C1C}">
                          <a14:useLocalDpi xmlns:a14="http://schemas.microsoft.com/office/drawing/2010/main" val="0"/>
                        </a:ext>
                      </a:extLst>
                    </a:blip>
                    <a:srcRect l="9244" t="20102" r="4486" b="9889"/>
                    <a:stretch/>
                  </pic:blipFill>
                  <pic:spPr bwMode="auto">
                    <a:xfrm>
                      <a:off x="0" y="0"/>
                      <a:ext cx="5148048" cy="3134577"/>
                    </a:xfrm>
                    <a:prstGeom prst="rect">
                      <a:avLst/>
                    </a:prstGeom>
                    <a:noFill/>
                    <a:ln>
                      <a:noFill/>
                    </a:ln>
                    <a:extLst>
                      <a:ext uri="{53640926-AAD7-44D8-BBD7-CCE9431645EC}">
                        <a14:shadowObscured xmlns:a14="http://schemas.microsoft.com/office/drawing/2010/main"/>
                      </a:ext>
                    </a:extLst>
                  </pic:spPr>
                </pic:pic>
              </a:graphicData>
            </a:graphic>
          </wp:inline>
        </w:drawing>
      </w:r>
    </w:p>
    <w:p w14:paraId="3A31CB06" w14:textId="0196980E" w:rsidR="00473A83" w:rsidRPr="00FF7074" w:rsidRDefault="009B1076" w:rsidP="00C9065D">
      <w:pPr>
        <w:spacing w:after="0" w:line="276" w:lineRule="auto"/>
        <w:ind w:firstLine="0"/>
        <w:jc w:val="center"/>
        <w:rPr>
          <w:i/>
          <w:iCs/>
          <w:color w:val="4B4F54" w:themeColor="text1"/>
          <w:sz w:val="18"/>
          <w:szCs w:val="18"/>
          <w:lang w:val="pt-PT"/>
        </w:rPr>
      </w:pPr>
      <w:r w:rsidRPr="00FF7074">
        <w:rPr>
          <w:rFonts w:eastAsia="Verdana"/>
          <w:i/>
          <w:iCs/>
          <w:color w:val="4B4F54" w:themeColor="text1"/>
          <w:sz w:val="18"/>
          <w:szCs w:val="18"/>
          <w:lang w:val="pt-PT" w:eastAsia="en-US"/>
        </w:rPr>
        <w:t xml:space="preserve">Figura </w:t>
      </w:r>
      <w:r w:rsidRPr="00FF7074">
        <w:rPr>
          <w:rFonts w:eastAsia="Verdana"/>
          <w:i/>
          <w:iCs/>
          <w:color w:val="4B4F54" w:themeColor="text1"/>
          <w:sz w:val="18"/>
          <w:szCs w:val="18"/>
          <w:lang w:val="pt-PT" w:eastAsia="en-US"/>
        </w:rPr>
        <w:fldChar w:fldCharType="begin"/>
      </w:r>
      <w:r w:rsidRPr="00FF7074">
        <w:rPr>
          <w:rFonts w:eastAsia="Verdana"/>
          <w:i/>
          <w:iCs/>
          <w:color w:val="4B4F54" w:themeColor="text1"/>
          <w:sz w:val="18"/>
          <w:szCs w:val="18"/>
          <w:lang w:val="pt-PT" w:eastAsia="en-US"/>
        </w:rPr>
        <w:instrText xml:space="preserve"> SEQ Figura \* ARABIC </w:instrText>
      </w:r>
      <w:r w:rsidRPr="00FF7074">
        <w:rPr>
          <w:rFonts w:eastAsia="Verdana"/>
          <w:i/>
          <w:iCs/>
          <w:color w:val="4B4F54" w:themeColor="text1"/>
          <w:sz w:val="18"/>
          <w:szCs w:val="18"/>
          <w:lang w:val="pt-PT" w:eastAsia="en-US"/>
        </w:rPr>
        <w:fldChar w:fldCharType="separate"/>
      </w:r>
      <w:r w:rsidR="008617AF">
        <w:rPr>
          <w:rFonts w:eastAsia="Verdana"/>
          <w:i/>
          <w:iCs/>
          <w:noProof/>
          <w:color w:val="4B4F54" w:themeColor="text1"/>
          <w:sz w:val="18"/>
          <w:szCs w:val="18"/>
          <w:lang w:val="pt-PT" w:eastAsia="en-US"/>
        </w:rPr>
        <w:t>9</w:t>
      </w:r>
      <w:r w:rsidRPr="00FF7074">
        <w:rPr>
          <w:rFonts w:eastAsia="Verdana"/>
          <w:i/>
          <w:iCs/>
          <w:color w:val="4B4F54" w:themeColor="text1"/>
          <w:sz w:val="18"/>
          <w:szCs w:val="18"/>
          <w:lang w:val="pt-PT" w:eastAsia="en-US"/>
        </w:rPr>
        <w:fldChar w:fldCharType="end"/>
      </w:r>
      <w:r w:rsidR="00473A83" w:rsidRPr="00FF7074">
        <w:rPr>
          <w:i/>
          <w:iCs/>
          <w:color w:val="4B4F54" w:themeColor="text1"/>
          <w:sz w:val="18"/>
          <w:szCs w:val="18"/>
          <w:lang w:val="pt-PT"/>
        </w:rPr>
        <w:t>: A classificação científica d</w:t>
      </w:r>
      <w:r w:rsidR="005D3BCF" w:rsidRPr="00FF7074">
        <w:rPr>
          <w:i/>
          <w:iCs/>
          <w:color w:val="4B4F54" w:themeColor="text1"/>
          <w:sz w:val="18"/>
          <w:szCs w:val="18"/>
          <w:lang w:val="pt-PT"/>
        </w:rPr>
        <w:t>o scouting tecnológico</w:t>
      </w:r>
      <w:r w:rsidR="00B04E99" w:rsidRPr="00FF7074">
        <w:rPr>
          <w:i/>
          <w:iCs/>
          <w:color w:val="4B4F54" w:themeColor="text1"/>
          <w:sz w:val="18"/>
          <w:szCs w:val="18"/>
          <w:lang w:val="pt-PT"/>
        </w:rPr>
        <w:t>.</w:t>
      </w:r>
    </w:p>
    <w:p w14:paraId="23467BA6" w14:textId="5A050D86" w:rsidR="00473A83" w:rsidRPr="00BB49FE" w:rsidRDefault="00473A83" w:rsidP="00C9065D">
      <w:pPr>
        <w:spacing w:after="0" w:line="276" w:lineRule="auto"/>
        <w:ind w:firstLine="0"/>
        <w:jc w:val="center"/>
        <w:rPr>
          <w:i/>
          <w:iCs/>
          <w:sz w:val="16"/>
          <w:szCs w:val="16"/>
          <w:lang w:val="en-GB"/>
        </w:rPr>
      </w:pPr>
      <w:r w:rsidRPr="00BB49FE">
        <w:rPr>
          <w:i/>
          <w:iCs/>
          <w:sz w:val="16"/>
          <w:szCs w:val="16"/>
          <w:lang w:val="en-GB"/>
        </w:rPr>
        <w:t xml:space="preserve">Fonte: "External technology searching methods - a literature review" (2019), </w:t>
      </w:r>
      <w:r w:rsidR="00C9065D" w:rsidRPr="00BB49FE">
        <w:rPr>
          <w:i/>
          <w:iCs/>
          <w:sz w:val="16"/>
          <w:szCs w:val="16"/>
          <w:lang w:val="en-GB"/>
        </w:rPr>
        <w:t xml:space="preserve">com base </w:t>
      </w:r>
      <w:proofErr w:type="spellStart"/>
      <w:r w:rsidR="00C9065D" w:rsidRPr="00BB49FE">
        <w:rPr>
          <w:i/>
          <w:iCs/>
          <w:sz w:val="16"/>
          <w:szCs w:val="16"/>
          <w:lang w:val="en-GB"/>
        </w:rPr>
        <w:t>em</w:t>
      </w:r>
      <w:proofErr w:type="spellEnd"/>
      <w:r w:rsidR="00C9065D" w:rsidRPr="00BB49FE">
        <w:rPr>
          <w:i/>
          <w:iCs/>
          <w:sz w:val="16"/>
          <w:szCs w:val="16"/>
          <w:lang w:val="en-GB"/>
        </w:rPr>
        <w:t xml:space="preserve"> </w:t>
      </w:r>
      <w:proofErr w:type="spellStart"/>
      <w:r w:rsidRPr="00BB49FE">
        <w:rPr>
          <w:i/>
          <w:iCs/>
          <w:sz w:val="16"/>
          <w:szCs w:val="16"/>
          <w:lang w:val="en-GB"/>
        </w:rPr>
        <w:t>Rohrbeck</w:t>
      </w:r>
      <w:proofErr w:type="spellEnd"/>
      <w:r w:rsidRPr="00BB49FE">
        <w:rPr>
          <w:i/>
          <w:iCs/>
          <w:sz w:val="16"/>
          <w:szCs w:val="16"/>
          <w:lang w:val="en-GB"/>
        </w:rPr>
        <w:t xml:space="preserve"> (2007)</w:t>
      </w:r>
      <w:r w:rsidR="00B04E99" w:rsidRPr="00BB49FE">
        <w:rPr>
          <w:i/>
          <w:iCs/>
          <w:sz w:val="16"/>
          <w:szCs w:val="16"/>
          <w:lang w:val="en-GB"/>
        </w:rPr>
        <w:t>.</w:t>
      </w:r>
    </w:p>
    <w:p w14:paraId="62025A4E" w14:textId="77777777" w:rsidR="00473A83" w:rsidRPr="00BB49FE" w:rsidRDefault="00473A83" w:rsidP="00473A83">
      <w:pPr>
        <w:rPr>
          <w:sz w:val="10"/>
          <w:szCs w:val="10"/>
          <w:lang w:val="en-GB"/>
        </w:rPr>
      </w:pPr>
    </w:p>
    <w:p w14:paraId="0F4F5BB9" w14:textId="71B16008" w:rsidR="00473A83" w:rsidRPr="00FF7074" w:rsidRDefault="00473A83" w:rsidP="00B04E99">
      <w:pPr>
        <w:ind w:firstLine="0"/>
        <w:rPr>
          <w:lang w:val="pt-PT"/>
        </w:rPr>
      </w:pPr>
      <w:r w:rsidRPr="00FF7074">
        <w:rPr>
          <w:lang w:val="pt-PT"/>
        </w:rPr>
        <w:t xml:space="preserve">Enquanto a Inteligência Tecnológica se refere ao processo de recolha, análise e divulgação de informações sobre desenvolvimentos tecnológicos, tendências e tecnologias emergentes num determinado domínio ou sector, </w:t>
      </w:r>
      <w:r w:rsidR="005D3BCF" w:rsidRPr="00FF7074">
        <w:rPr>
          <w:lang w:val="pt-PT"/>
        </w:rPr>
        <w:t xml:space="preserve">o </w:t>
      </w:r>
      <w:r w:rsidR="005D3BCF" w:rsidRPr="00FF7074">
        <w:rPr>
          <w:i/>
          <w:lang w:val="pt-PT"/>
        </w:rPr>
        <w:t>scouting</w:t>
      </w:r>
      <w:r w:rsidR="005D3BCF" w:rsidRPr="00FF7074">
        <w:rPr>
          <w:lang w:val="pt-PT"/>
        </w:rPr>
        <w:t xml:space="preserve"> tecnológico</w:t>
      </w:r>
      <w:r w:rsidRPr="00FF7074">
        <w:rPr>
          <w:lang w:val="pt-PT"/>
        </w:rPr>
        <w:t xml:space="preserve"> refere-se ao processo de identificação e avaliação de novas tecnologias com potencial para aumentar a vantagem competitiva de uma organização. </w:t>
      </w:r>
    </w:p>
    <w:p w14:paraId="727E8592" w14:textId="38A7FBC6" w:rsidR="00473A83" w:rsidRPr="00FF7074" w:rsidRDefault="00473A83" w:rsidP="00B04E99">
      <w:pPr>
        <w:ind w:firstLine="0"/>
        <w:rPr>
          <w:lang w:val="pt-PT"/>
        </w:rPr>
      </w:pPr>
      <w:r w:rsidRPr="00FF7074">
        <w:rPr>
          <w:lang w:val="pt-PT"/>
        </w:rPr>
        <w:t xml:space="preserve">Por outro lado, a Gestão da Tecnologia refere-se ao processo de planeamento, organização e controlo do desenvolvimento, implementação e manutenção da tecnologia dentro de uma organização. Envolve a gestão de recursos tecnológicos, incluindo recursos humanos, recursos financeiros e </w:t>
      </w:r>
      <w:r w:rsidR="0086156A" w:rsidRPr="00FF7074">
        <w:rPr>
          <w:lang w:val="pt-PT"/>
        </w:rPr>
        <w:t>infraestruturas</w:t>
      </w:r>
      <w:r w:rsidRPr="00FF7074">
        <w:rPr>
          <w:lang w:val="pt-PT"/>
        </w:rPr>
        <w:t xml:space="preserve"> físicas, para maximizar o seu impacto no desempenho da organização. A gestão da tecnologia inclui o desenvolvimento de estratégias de I&amp;D, o desenvolvimento de produtos, a gestão de </w:t>
      </w:r>
      <w:r w:rsidR="00B04E99" w:rsidRPr="00FF7074">
        <w:rPr>
          <w:lang w:val="pt-PT"/>
        </w:rPr>
        <w:t>projetos</w:t>
      </w:r>
      <w:r w:rsidRPr="00FF7074">
        <w:rPr>
          <w:lang w:val="pt-PT"/>
        </w:rPr>
        <w:t xml:space="preserve"> e a gestão da inovação.</w:t>
      </w:r>
    </w:p>
    <w:p w14:paraId="7AD7292C" w14:textId="1C1573CB" w:rsidR="00473A83" w:rsidRPr="00FF7074" w:rsidRDefault="00473A83" w:rsidP="00B04E99">
      <w:pPr>
        <w:ind w:firstLine="0"/>
        <w:rPr>
          <w:lang w:val="pt-PT"/>
        </w:rPr>
      </w:pPr>
      <w:r w:rsidRPr="00FF7074">
        <w:rPr>
          <w:lang w:val="pt-PT"/>
        </w:rPr>
        <w:t xml:space="preserve">Por conseguinte, a gestão inclui a integração de estratégias para obter mais inteligência, encontrar oportunidades, desenvolver e implementar capacidades tecnológicas e planeamento na empresa. Pode dizer-se que </w:t>
      </w:r>
      <w:r w:rsidR="005D3BCF" w:rsidRPr="00FF7074">
        <w:rPr>
          <w:lang w:val="pt-PT"/>
        </w:rPr>
        <w:t xml:space="preserve">o </w:t>
      </w:r>
      <w:r w:rsidR="005D3BCF" w:rsidRPr="00FF7074">
        <w:rPr>
          <w:i/>
          <w:lang w:val="pt-PT"/>
        </w:rPr>
        <w:t>scouting</w:t>
      </w:r>
      <w:r w:rsidR="005D3BCF" w:rsidRPr="00FF7074">
        <w:rPr>
          <w:lang w:val="pt-PT"/>
        </w:rPr>
        <w:t xml:space="preserve"> tecnológico</w:t>
      </w:r>
      <w:r w:rsidRPr="00FF7074">
        <w:rPr>
          <w:lang w:val="pt-PT"/>
        </w:rPr>
        <w:t xml:space="preserve"> é um meio para aumentar a inteligência tecnológica e facilitar a gestão tecnológica. Em resumo, a Inteligência Tecnológica, </w:t>
      </w:r>
      <w:r w:rsidR="005D3BCF" w:rsidRPr="00FF7074">
        <w:rPr>
          <w:lang w:val="pt-PT"/>
        </w:rPr>
        <w:t xml:space="preserve">o </w:t>
      </w:r>
      <w:r w:rsidR="005D3BCF" w:rsidRPr="00FF7074">
        <w:rPr>
          <w:i/>
          <w:lang w:val="pt-PT"/>
        </w:rPr>
        <w:t>scouting</w:t>
      </w:r>
      <w:r w:rsidR="005D3BCF" w:rsidRPr="00FF7074">
        <w:rPr>
          <w:lang w:val="pt-PT"/>
        </w:rPr>
        <w:t xml:space="preserve"> tecnológico</w:t>
      </w:r>
      <w:r w:rsidRPr="00FF7074">
        <w:rPr>
          <w:lang w:val="pt-PT"/>
        </w:rPr>
        <w:t xml:space="preserve"> e a Gestão Tecnológica são três conceitos importantes que são cruciais para as organizações se manterem competitivas e inovadoras. Estão interligados e as organizações devem utilizá-los de forma integrada para atingir os seus </w:t>
      </w:r>
      <w:r w:rsidR="00B04E99" w:rsidRPr="00FF7074">
        <w:rPr>
          <w:lang w:val="pt-PT"/>
        </w:rPr>
        <w:t>objetivos</w:t>
      </w:r>
      <w:r w:rsidRPr="00FF7074">
        <w:rPr>
          <w:lang w:val="pt-PT"/>
        </w:rPr>
        <w:t xml:space="preserve"> estratégicos.</w:t>
      </w:r>
    </w:p>
    <w:p w14:paraId="3BE2789A" w14:textId="6EFD0A8A" w:rsidR="00473A83" w:rsidRPr="00FF7074" w:rsidRDefault="00473A83" w:rsidP="005A0D62">
      <w:pPr>
        <w:ind w:firstLine="0"/>
        <w:rPr>
          <w:b/>
          <w:bCs/>
          <w:lang w:val="pt-PT"/>
        </w:rPr>
      </w:pPr>
      <w:r w:rsidRPr="00FF7074">
        <w:rPr>
          <w:b/>
          <w:bCs/>
          <w:lang w:val="pt-PT"/>
        </w:rPr>
        <w:lastRenderedPageBreak/>
        <w:t xml:space="preserve">O processo de </w:t>
      </w:r>
      <w:r w:rsidR="005A0D62" w:rsidRPr="00FF7074">
        <w:rPr>
          <w:b/>
          <w:bCs/>
          <w:i/>
          <w:iCs/>
          <w:lang w:val="pt-PT"/>
        </w:rPr>
        <w:t>scouting</w:t>
      </w:r>
      <w:r w:rsidRPr="00FF7074">
        <w:rPr>
          <w:b/>
          <w:bCs/>
          <w:lang w:val="pt-PT"/>
        </w:rPr>
        <w:t xml:space="preserve"> tecnológica</w:t>
      </w:r>
    </w:p>
    <w:p w14:paraId="7A3971ED" w14:textId="123CF1AE" w:rsidR="00473A83" w:rsidRPr="00FF7074" w:rsidRDefault="00473A83" w:rsidP="005A0D62">
      <w:pPr>
        <w:ind w:firstLine="0"/>
        <w:rPr>
          <w:lang w:val="pt-PT"/>
        </w:rPr>
      </w:pPr>
      <w:r w:rsidRPr="00FF7074">
        <w:rPr>
          <w:lang w:val="pt-PT"/>
        </w:rPr>
        <w:t xml:space="preserve">A metodologia para </w:t>
      </w:r>
      <w:r w:rsidR="005D3BCF" w:rsidRPr="00FF7074">
        <w:rPr>
          <w:lang w:val="pt-PT"/>
        </w:rPr>
        <w:t xml:space="preserve">o </w:t>
      </w:r>
      <w:r w:rsidR="005D3BCF" w:rsidRPr="00FF7074">
        <w:rPr>
          <w:i/>
          <w:lang w:val="pt-PT"/>
        </w:rPr>
        <w:t>scouting</w:t>
      </w:r>
      <w:r w:rsidR="005D3BCF" w:rsidRPr="00FF7074">
        <w:rPr>
          <w:lang w:val="pt-PT"/>
        </w:rPr>
        <w:t xml:space="preserve"> tecnológico</w:t>
      </w:r>
      <w:r w:rsidRPr="00FF7074">
        <w:rPr>
          <w:lang w:val="pt-PT"/>
        </w:rPr>
        <w:t xml:space="preserve"> pode variar consoante os </w:t>
      </w:r>
      <w:r w:rsidR="00B04E99" w:rsidRPr="00FF7074">
        <w:rPr>
          <w:lang w:val="pt-PT"/>
        </w:rPr>
        <w:t>objetivos</w:t>
      </w:r>
      <w:r w:rsidRPr="00FF7074">
        <w:rPr>
          <w:lang w:val="pt-PT"/>
        </w:rPr>
        <w:t xml:space="preserve"> e recursos da organização, mas alguns passos comuns incluem:</w:t>
      </w:r>
    </w:p>
    <w:p w14:paraId="08D483F7" w14:textId="77777777" w:rsidR="00473A83" w:rsidRPr="00FF7074" w:rsidRDefault="00473A83" w:rsidP="005A0D62">
      <w:pPr>
        <w:ind w:firstLine="0"/>
        <w:jc w:val="center"/>
        <w:rPr>
          <w:lang w:val="pt-PT"/>
        </w:rPr>
      </w:pPr>
      <w:r w:rsidRPr="00FF7074">
        <w:rPr>
          <w:noProof/>
          <w:lang w:val="pt-PT"/>
        </w:rPr>
        <w:drawing>
          <wp:inline distT="0" distB="0" distL="0" distR="0" wp14:anchorId="190E89C5" wp14:editId="5DC7F978">
            <wp:extent cx="5861809" cy="1346662"/>
            <wp:effectExtent l="0" t="0" r="5715" b="635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3">
                      <a:extLst>
                        <a:ext uri="{28A0092B-C50C-407E-A947-70E740481C1C}">
                          <a14:useLocalDpi xmlns:a14="http://schemas.microsoft.com/office/drawing/2010/main" val="0"/>
                        </a:ext>
                      </a:extLst>
                    </a:blip>
                    <a:srcRect l="8572" t="30211" r="4798" b="43243"/>
                    <a:stretch/>
                  </pic:blipFill>
                  <pic:spPr bwMode="auto">
                    <a:xfrm>
                      <a:off x="0" y="0"/>
                      <a:ext cx="5888074" cy="1352696"/>
                    </a:xfrm>
                    <a:prstGeom prst="rect">
                      <a:avLst/>
                    </a:prstGeom>
                    <a:noFill/>
                    <a:ln>
                      <a:noFill/>
                    </a:ln>
                    <a:extLst>
                      <a:ext uri="{53640926-AAD7-44D8-BBD7-CCE9431645EC}">
                        <a14:shadowObscured xmlns:a14="http://schemas.microsoft.com/office/drawing/2010/main"/>
                      </a:ext>
                    </a:extLst>
                  </pic:spPr>
                </pic:pic>
              </a:graphicData>
            </a:graphic>
          </wp:inline>
        </w:drawing>
      </w:r>
    </w:p>
    <w:p w14:paraId="5BD75FBD" w14:textId="324E77EE" w:rsidR="00473A83" w:rsidRPr="00FF7074" w:rsidRDefault="003774F1" w:rsidP="003774F1">
      <w:pPr>
        <w:spacing w:after="0" w:line="276" w:lineRule="auto"/>
        <w:ind w:firstLine="0"/>
        <w:jc w:val="center"/>
        <w:rPr>
          <w:i/>
          <w:iCs/>
          <w:color w:val="4B4F54" w:themeColor="text1"/>
          <w:sz w:val="18"/>
          <w:szCs w:val="18"/>
          <w:lang w:val="pt-PT"/>
        </w:rPr>
      </w:pPr>
      <w:r w:rsidRPr="00FF7074">
        <w:rPr>
          <w:rFonts w:eastAsia="Verdana"/>
          <w:i/>
          <w:iCs/>
          <w:color w:val="4B4F54" w:themeColor="text1"/>
          <w:sz w:val="18"/>
          <w:szCs w:val="18"/>
          <w:lang w:val="pt-PT" w:eastAsia="en-US"/>
        </w:rPr>
        <w:t xml:space="preserve">Figura </w:t>
      </w:r>
      <w:r w:rsidRPr="00FF7074">
        <w:rPr>
          <w:rFonts w:eastAsia="Verdana"/>
          <w:i/>
          <w:iCs/>
          <w:color w:val="4B4F54" w:themeColor="text1"/>
          <w:sz w:val="18"/>
          <w:szCs w:val="18"/>
          <w:lang w:val="pt-PT" w:eastAsia="en-US"/>
        </w:rPr>
        <w:fldChar w:fldCharType="begin"/>
      </w:r>
      <w:r w:rsidRPr="00FF7074">
        <w:rPr>
          <w:rFonts w:eastAsia="Verdana"/>
          <w:i/>
          <w:iCs/>
          <w:color w:val="4B4F54" w:themeColor="text1"/>
          <w:sz w:val="18"/>
          <w:szCs w:val="18"/>
          <w:lang w:val="pt-PT" w:eastAsia="en-US"/>
        </w:rPr>
        <w:instrText xml:space="preserve"> SEQ Figura \* ARABIC </w:instrText>
      </w:r>
      <w:r w:rsidRPr="00FF7074">
        <w:rPr>
          <w:rFonts w:eastAsia="Verdana"/>
          <w:i/>
          <w:iCs/>
          <w:color w:val="4B4F54" w:themeColor="text1"/>
          <w:sz w:val="18"/>
          <w:szCs w:val="18"/>
          <w:lang w:val="pt-PT" w:eastAsia="en-US"/>
        </w:rPr>
        <w:fldChar w:fldCharType="separate"/>
      </w:r>
      <w:r w:rsidR="008617AF">
        <w:rPr>
          <w:rFonts w:eastAsia="Verdana"/>
          <w:i/>
          <w:iCs/>
          <w:noProof/>
          <w:color w:val="4B4F54" w:themeColor="text1"/>
          <w:sz w:val="18"/>
          <w:szCs w:val="18"/>
          <w:lang w:val="pt-PT" w:eastAsia="en-US"/>
        </w:rPr>
        <w:t>10</w:t>
      </w:r>
      <w:r w:rsidRPr="00FF7074">
        <w:rPr>
          <w:rFonts w:eastAsia="Verdana"/>
          <w:i/>
          <w:iCs/>
          <w:color w:val="4B4F54" w:themeColor="text1"/>
          <w:sz w:val="18"/>
          <w:szCs w:val="18"/>
          <w:lang w:val="pt-PT" w:eastAsia="en-US"/>
        </w:rPr>
        <w:fldChar w:fldCharType="end"/>
      </w:r>
      <w:r w:rsidR="00473A83" w:rsidRPr="00FF7074">
        <w:rPr>
          <w:i/>
          <w:iCs/>
          <w:color w:val="4B4F54" w:themeColor="text1"/>
          <w:sz w:val="18"/>
          <w:szCs w:val="18"/>
          <w:lang w:val="pt-PT"/>
        </w:rPr>
        <w:t>: Etapas d</w:t>
      </w:r>
      <w:r w:rsidR="005D3BCF" w:rsidRPr="00FF7074">
        <w:rPr>
          <w:i/>
          <w:iCs/>
          <w:color w:val="4B4F54" w:themeColor="text1"/>
          <w:sz w:val="18"/>
          <w:szCs w:val="18"/>
          <w:lang w:val="pt-PT"/>
        </w:rPr>
        <w:t>o scouting tecnológico</w:t>
      </w:r>
      <w:r w:rsidR="005A0D62" w:rsidRPr="00FF7074">
        <w:rPr>
          <w:i/>
          <w:iCs/>
          <w:color w:val="4B4F54" w:themeColor="text1"/>
          <w:sz w:val="18"/>
          <w:szCs w:val="18"/>
          <w:lang w:val="pt-PT"/>
        </w:rPr>
        <w:t>.</w:t>
      </w:r>
    </w:p>
    <w:p w14:paraId="7080BAA9" w14:textId="58DFD362" w:rsidR="00473A83" w:rsidRPr="00BB49FE" w:rsidRDefault="00473A83" w:rsidP="003774F1">
      <w:pPr>
        <w:spacing w:after="0" w:line="276" w:lineRule="auto"/>
        <w:ind w:firstLine="0"/>
        <w:jc w:val="center"/>
        <w:rPr>
          <w:i/>
          <w:iCs/>
          <w:color w:val="4B4F54" w:themeColor="text1"/>
          <w:sz w:val="16"/>
          <w:szCs w:val="16"/>
          <w:lang w:val="en-GB"/>
        </w:rPr>
      </w:pPr>
      <w:r w:rsidRPr="00BB49FE">
        <w:rPr>
          <w:i/>
          <w:iCs/>
          <w:color w:val="4B4F54" w:themeColor="text1"/>
          <w:sz w:val="16"/>
          <w:szCs w:val="16"/>
          <w:lang w:val="en-GB"/>
        </w:rPr>
        <w:t xml:space="preserve">Fonte: "Technology </w:t>
      </w:r>
      <w:r w:rsidR="005D3BCF" w:rsidRPr="00BB49FE">
        <w:rPr>
          <w:i/>
          <w:iCs/>
          <w:color w:val="4B4F54" w:themeColor="text1"/>
          <w:sz w:val="16"/>
          <w:szCs w:val="16"/>
          <w:lang w:val="en-GB"/>
        </w:rPr>
        <w:t>Scouting</w:t>
      </w:r>
      <w:r w:rsidRPr="00BB49FE">
        <w:rPr>
          <w:i/>
          <w:iCs/>
          <w:color w:val="4B4F54" w:themeColor="text1"/>
          <w:sz w:val="16"/>
          <w:szCs w:val="16"/>
          <w:lang w:val="en-GB"/>
        </w:rPr>
        <w:t xml:space="preserve"> - a case study of the Deutsche Telekom Laboratories" (2007), </w:t>
      </w:r>
      <w:proofErr w:type="spellStart"/>
      <w:r w:rsidRPr="00BB49FE">
        <w:rPr>
          <w:i/>
          <w:iCs/>
          <w:color w:val="4B4F54" w:themeColor="text1"/>
          <w:sz w:val="16"/>
          <w:szCs w:val="16"/>
          <w:lang w:val="en-GB"/>
        </w:rPr>
        <w:t>Reger</w:t>
      </w:r>
      <w:proofErr w:type="spellEnd"/>
      <w:r w:rsidRPr="00BB49FE">
        <w:rPr>
          <w:i/>
          <w:iCs/>
          <w:color w:val="4B4F54" w:themeColor="text1"/>
          <w:sz w:val="16"/>
          <w:szCs w:val="16"/>
          <w:lang w:val="en-GB"/>
        </w:rPr>
        <w:t xml:space="preserve"> (2001) e Ashton/ Stacey (1995)</w:t>
      </w:r>
      <w:r w:rsidR="005A0D62" w:rsidRPr="00BB49FE">
        <w:rPr>
          <w:i/>
          <w:iCs/>
          <w:color w:val="4B4F54" w:themeColor="text1"/>
          <w:sz w:val="16"/>
          <w:szCs w:val="16"/>
          <w:lang w:val="en-GB"/>
        </w:rPr>
        <w:t>.</w:t>
      </w:r>
    </w:p>
    <w:p w14:paraId="1585DFE8" w14:textId="77777777" w:rsidR="00473A83" w:rsidRPr="00BB49FE" w:rsidRDefault="00473A83" w:rsidP="00473A83">
      <w:pPr>
        <w:rPr>
          <w:sz w:val="4"/>
          <w:szCs w:val="4"/>
          <w:lang w:val="en-GB"/>
        </w:rPr>
      </w:pPr>
    </w:p>
    <w:p w14:paraId="4BEB7A28" w14:textId="20BC2280" w:rsidR="00473A83" w:rsidRPr="00FF7074" w:rsidRDefault="00473A83" w:rsidP="00BB43B5">
      <w:pPr>
        <w:pStyle w:val="PargrafodaLista"/>
        <w:numPr>
          <w:ilvl w:val="0"/>
          <w:numId w:val="20"/>
        </w:numPr>
        <w:spacing w:before="0"/>
        <w:ind w:left="714" w:hanging="357"/>
        <w:rPr>
          <w:lang w:val="pt-PT"/>
        </w:rPr>
      </w:pPr>
      <w:r w:rsidRPr="00FF7074">
        <w:rPr>
          <w:b/>
          <w:bCs/>
          <w:lang w:val="pt-PT"/>
        </w:rPr>
        <w:t xml:space="preserve">Definir os </w:t>
      </w:r>
      <w:r w:rsidR="005A0D62" w:rsidRPr="00FF7074">
        <w:rPr>
          <w:b/>
          <w:bCs/>
          <w:lang w:val="pt-PT"/>
        </w:rPr>
        <w:t>objetivos</w:t>
      </w:r>
      <w:r w:rsidRPr="00FF7074">
        <w:rPr>
          <w:b/>
          <w:bCs/>
          <w:lang w:val="pt-PT"/>
        </w:rPr>
        <w:t xml:space="preserve"> e as áreas de pesquisa</w:t>
      </w:r>
      <w:r w:rsidRPr="00FF7074">
        <w:rPr>
          <w:lang w:val="pt-PT"/>
        </w:rPr>
        <w:t>: O primeiro passo é definir a área de foco e o âmbito do esforço de</w:t>
      </w:r>
      <w:r w:rsidR="005A0D62" w:rsidRPr="00FF7074">
        <w:rPr>
          <w:lang w:val="pt-PT"/>
        </w:rPr>
        <w:t xml:space="preserve"> </w:t>
      </w:r>
      <w:r w:rsidR="005A0D62" w:rsidRPr="00FF7074">
        <w:rPr>
          <w:i/>
          <w:iCs/>
          <w:lang w:val="pt-PT"/>
        </w:rPr>
        <w:t>scouting</w:t>
      </w:r>
      <w:r w:rsidRPr="00FF7074">
        <w:rPr>
          <w:lang w:val="pt-PT"/>
        </w:rPr>
        <w:t xml:space="preserve"> tecnológic</w:t>
      </w:r>
      <w:r w:rsidR="005A0D62" w:rsidRPr="00FF7074">
        <w:rPr>
          <w:lang w:val="pt-PT"/>
        </w:rPr>
        <w:t>o</w:t>
      </w:r>
      <w:r w:rsidRPr="00FF7074">
        <w:rPr>
          <w:lang w:val="pt-PT"/>
        </w:rPr>
        <w:t>. Isto implica identificar os principais desafios ou oportunidades de negócio que a organização enfrenta e os domínios tecnológicos que são relevantes para os resolver.</w:t>
      </w:r>
    </w:p>
    <w:p w14:paraId="23BA372F" w14:textId="6C844F9B" w:rsidR="00473A83" w:rsidRPr="00FF7074" w:rsidRDefault="00473A83" w:rsidP="00BB43B5">
      <w:pPr>
        <w:pStyle w:val="PargrafodaLista"/>
        <w:numPr>
          <w:ilvl w:val="0"/>
          <w:numId w:val="20"/>
        </w:numPr>
        <w:spacing w:before="0"/>
        <w:ind w:left="714" w:hanging="357"/>
        <w:rPr>
          <w:lang w:val="pt-PT"/>
        </w:rPr>
      </w:pPr>
      <w:r w:rsidRPr="00FF7074">
        <w:rPr>
          <w:b/>
          <w:bCs/>
          <w:lang w:val="pt-PT"/>
        </w:rPr>
        <w:t>Seleção das fontes de informação</w:t>
      </w:r>
      <w:r w:rsidRPr="00FF7074">
        <w:rPr>
          <w:lang w:val="pt-PT"/>
        </w:rPr>
        <w:t>: Uma vez definido o âmbito, o passo seguinte consiste em identificar potenciais fontes de novas tecnologias e inovações. Isto pode incluir investigação académica, empresas em fase de arranque, conferências e publicações do sector, bases de dados de patentes e outras fontes.</w:t>
      </w:r>
    </w:p>
    <w:p w14:paraId="39E3DA12" w14:textId="6B71558E" w:rsidR="00473A83" w:rsidRPr="00FF7074" w:rsidRDefault="00473A83" w:rsidP="00BB43B5">
      <w:pPr>
        <w:pStyle w:val="PargrafodaLista"/>
        <w:numPr>
          <w:ilvl w:val="0"/>
          <w:numId w:val="20"/>
        </w:numPr>
        <w:spacing w:before="0"/>
        <w:ind w:left="714" w:hanging="357"/>
        <w:rPr>
          <w:lang w:val="pt-PT"/>
        </w:rPr>
      </w:pPr>
      <w:r w:rsidRPr="00FF7074">
        <w:rPr>
          <w:b/>
          <w:bCs/>
          <w:lang w:val="pt-PT"/>
        </w:rPr>
        <w:t>Recolh</w:t>
      </w:r>
      <w:r w:rsidR="0001360C" w:rsidRPr="00FF7074">
        <w:rPr>
          <w:b/>
          <w:bCs/>
          <w:lang w:val="pt-PT"/>
        </w:rPr>
        <w:t>a de</w:t>
      </w:r>
      <w:r w:rsidRPr="00FF7074">
        <w:rPr>
          <w:b/>
          <w:bCs/>
          <w:lang w:val="pt-PT"/>
        </w:rPr>
        <w:t xml:space="preserve"> dados</w:t>
      </w:r>
      <w:r w:rsidRPr="00FF7074">
        <w:rPr>
          <w:lang w:val="pt-PT"/>
        </w:rPr>
        <w:t>: Depois de identificadas as potenciais fontes, a recolha de dados a partir de uma variedade de fontes é fundamental para a construção de uma compreensão abrangente das tendências tecnológicas e das novas tecnologias emergentes e do seu impacto na organização.</w:t>
      </w:r>
    </w:p>
    <w:p w14:paraId="7531AFC4" w14:textId="2614C4BC" w:rsidR="00473A83" w:rsidRPr="00FF7074" w:rsidRDefault="00473A83" w:rsidP="00BB43B5">
      <w:pPr>
        <w:pStyle w:val="PargrafodaLista"/>
        <w:numPr>
          <w:ilvl w:val="0"/>
          <w:numId w:val="20"/>
        </w:numPr>
        <w:spacing w:before="0"/>
        <w:ind w:left="714" w:hanging="357"/>
        <w:rPr>
          <w:lang w:val="pt-PT"/>
        </w:rPr>
      </w:pPr>
      <w:r w:rsidRPr="00FF7074">
        <w:rPr>
          <w:b/>
          <w:bCs/>
          <w:lang w:val="pt-PT"/>
        </w:rPr>
        <w:t>Filtrar, analisar e interpretar os dados</w:t>
      </w:r>
      <w:r w:rsidRPr="00FF7074">
        <w:rPr>
          <w:lang w:val="pt-PT"/>
        </w:rPr>
        <w:t xml:space="preserve">: o passo seguinte é selecionar e dar prioridade aos dados com base em critérios como a maturidade da tecnologia, o potencial impacto na organização e o alinhamento com os </w:t>
      </w:r>
      <w:r w:rsidR="002E030A" w:rsidRPr="00FF7074">
        <w:rPr>
          <w:lang w:val="pt-PT"/>
        </w:rPr>
        <w:t>objetivos</w:t>
      </w:r>
      <w:r w:rsidRPr="00FF7074">
        <w:rPr>
          <w:lang w:val="pt-PT"/>
        </w:rPr>
        <w:t xml:space="preserve"> estratégicos da organização.</w:t>
      </w:r>
    </w:p>
    <w:p w14:paraId="0E30DA22" w14:textId="7D107D8B" w:rsidR="00473A83" w:rsidRPr="00FF7074" w:rsidRDefault="00473A83" w:rsidP="00BB43B5">
      <w:pPr>
        <w:pStyle w:val="PargrafodaLista"/>
        <w:numPr>
          <w:ilvl w:val="0"/>
          <w:numId w:val="20"/>
        </w:numPr>
        <w:spacing w:before="0"/>
        <w:ind w:left="714" w:hanging="357"/>
        <w:rPr>
          <w:lang w:val="pt-PT"/>
        </w:rPr>
      </w:pPr>
      <w:r w:rsidRPr="00FF7074">
        <w:rPr>
          <w:b/>
          <w:bCs/>
          <w:lang w:val="pt-PT"/>
        </w:rPr>
        <w:t>Avaliar</w:t>
      </w:r>
      <w:r w:rsidRPr="00FF7074">
        <w:rPr>
          <w:lang w:val="pt-PT"/>
        </w:rPr>
        <w:t xml:space="preserve">: as tecnologias mais promissoras em maior profundidade, o que pode incluir a realização de projetos-piloto, a análise da viabilidade técnica e do potencial de mercado e a avaliação do panorama da propriedade intelectual. Com base nesta avaliação, a organização pode </w:t>
      </w:r>
      <w:r w:rsidR="002E030A" w:rsidRPr="00FF7074">
        <w:rPr>
          <w:lang w:val="pt-PT"/>
        </w:rPr>
        <w:t>selecionar</w:t>
      </w:r>
      <w:r w:rsidRPr="00FF7074">
        <w:rPr>
          <w:lang w:val="pt-PT"/>
        </w:rPr>
        <w:t xml:space="preserve"> as tecnologias a prosseguir.</w:t>
      </w:r>
    </w:p>
    <w:p w14:paraId="032CFB6F" w14:textId="2EF2A06C" w:rsidR="00473A83" w:rsidRPr="00FF7074" w:rsidRDefault="00473A83" w:rsidP="00BB43B5">
      <w:pPr>
        <w:pStyle w:val="PargrafodaLista"/>
        <w:numPr>
          <w:ilvl w:val="0"/>
          <w:numId w:val="20"/>
        </w:numPr>
        <w:spacing w:before="0"/>
        <w:ind w:left="714" w:hanging="357"/>
        <w:rPr>
          <w:lang w:val="pt-PT"/>
        </w:rPr>
      </w:pPr>
      <w:r w:rsidRPr="00FF7074">
        <w:rPr>
          <w:b/>
          <w:bCs/>
          <w:lang w:val="pt-PT"/>
        </w:rPr>
        <w:t>Informação de utilização</w:t>
      </w:r>
      <w:r w:rsidRPr="00FF7074">
        <w:rPr>
          <w:lang w:val="pt-PT"/>
        </w:rPr>
        <w:t xml:space="preserve">: Quando uma tecnologia é </w:t>
      </w:r>
      <w:r w:rsidR="002E030A" w:rsidRPr="00FF7074">
        <w:rPr>
          <w:lang w:val="pt-PT"/>
        </w:rPr>
        <w:t>selecionada</w:t>
      </w:r>
      <w:r w:rsidRPr="00FF7074">
        <w:rPr>
          <w:lang w:val="pt-PT"/>
        </w:rPr>
        <w:t xml:space="preserve"> para desenvolvimento posterior, a organização pode procurar parcerias e colaborações </w:t>
      </w:r>
      <w:r w:rsidRPr="00FF7074">
        <w:rPr>
          <w:lang w:val="pt-PT"/>
        </w:rPr>
        <w:lastRenderedPageBreak/>
        <w:t xml:space="preserve">com os fornecedores de tecnologia, tais como acordos de licenciamento ou </w:t>
      </w:r>
      <w:r w:rsidR="002E030A" w:rsidRPr="00FF7074">
        <w:rPr>
          <w:lang w:val="pt-PT"/>
        </w:rPr>
        <w:t>projetos</w:t>
      </w:r>
      <w:r w:rsidRPr="00FF7074">
        <w:rPr>
          <w:lang w:val="pt-PT"/>
        </w:rPr>
        <w:t xml:space="preserve"> de desenvolvimento conjunto.</w:t>
      </w:r>
    </w:p>
    <w:p w14:paraId="6CCD111A" w14:textId="77777777" w:rsidR="001B7401" w:rsidRPr="00FF7074" w:rsidRDefault="001B7401" w:rsidP="002E030A">
      <w:pPr>
        <w:ind w:firstLine="0"/>
        <w:rPr>
          <w:sz w:val="8"/>
          <w:szCs w:val="8"/>
          <w:lang w:val="pt-PT"/>
        </w:rPr>
      </w:pPr>
    </w:p>
    <w:p w14:paraId="26D4063B" w14:textId="5E49FFF5" w:rsidR="001B7401" w:rsidRPr="00FF7074" w:rsidRDefault="00473A83" w:rsidP="002E030A">
      <w:pPr>
        <w:ind w:firstLine="0"/>
        <w:rPr>
          <w:lang w:val="pt-PT"/>
        </w:rPr>
      </w:pPr>
      <w:r w:rsidRPr="00FF7074">
        <w:rPr>
          <w:lang w:val="pt-PT"/>
        </w:rPr>
        <w:t>O processo</w:t>
      </w:r>
      <w:r w:rsidRPr="00FF7074">
        <w:rPr>
          <w:iCs/>
          <w:lang w:val="pt-PT"/>
        </w:rPr>
        <w:t xml:space="preserve"> </w:t>
      </w:r>
      <w:r w:rsidR="002E030A" w:rsidRPr="00FF7074">
        <w:rPr>
          <w:iCs/>
          <w:lang w:val="pt-PT"/>
        </w:rPr>
        <w:t>de</w:t>
      </w:r>
      <w:r w:rsidR="002E030A" w:rsidRPr="00FF7074">
        <w:rPr>
          <w:i/>
          <w:lang w:val="pt-PT"/>
        </w:rPr>
        <w:t xml:space="preserve"> scouting </w:t>
      </w:r>
      <w:r w:rsidR="002E030A" w:rsidRPr="00FF7074">
        <w:rPr>
          <w:iCs/>
          <w:lang w:val="pt-PT"/>
        </w:rPr>
        <w:t>tecnológico</w:t>
      </w:r>
      <w:r w:rsidRPr="00FF7074">
        <w:rPr>
          <w:lang w:val="pt-PT"/>
        </w:rPr>
        <w:t xml:space="preserve"> requer a monitorização contínua do panorama tecnológico e a adaptação da metodologia à evolução das necessidades empresariais e das tecnologias emergentes. Isto envolve a pesquisa regular de novas tecnologias e inovações, a reavaliação das tecnologias existentes e o aperfeiçoamento dos critérios utilizados para estabelecer prioridades e </w:t>
      </w:r>
      <w:r w:rsidR="002E030A" w:rsidRPr="00FF7074">
        <w:rPr>
          <w:lang w:val="pt-PT"/>
        </w:rPr>
        <w:t>selecionar</w:t>
      </w:r>
      <w:r w:rsidRPr="00FF7074">
        <w:rPr>
          <w:lang w:val="pt-PT"/>
        </w:rPr>
        <w:t xml:space="preserve"> tecnologias.</w:t>
      </w:r>
    </w:p>
    <w:p w14:paraId="47EC1FD4" w14:textId="77777777" w:rsidR="00473A83" w:rsidRPr="00FF7074" w:rsidRDefault="00473A83" w:rsidP="00473A83">
      <w:pPr>
        <w:rPr>
          <w:sz w:val="4"/>
          <w:szCs w:val="4"/>
          <w:lang w:val="pt-PT"/>
        </w:rPr>
      </w:pPr>
    </w:p>
    <w:p w14:paraId="488DE141" w14:textId="0ADE9EEB" w:rsidR="00473A83" w:rsidRPr="00FF7074" w:rsidRDefault="00473A83" w:rsidP="002E030A">
      <w:pPr>
        <w:ind w:firstLine="0"/>
        <w:rPr>
          <w:b/>
          <w:bCs/>
          <w:lang w:val="pt-PT"/>
        </w:rPr>
      </w:pPr>
      <w:r w:rsidRPr="00FF7074">
        <w:rPr>
          <w:b/>
          <w:bCs/>
          <w:lang w:val="pt-PT"/>
        </w:rPr>
        <w:t xml:space="preserve">Ferramentas </w:t>
      </w:r>
      <w:r w:rsidR="002E030A" w:rsidRPr="00FF7074">
        <w:rPr>
          <w:b/>
          <w:bCs/>
          <w:lang w:val="pt-PT"/>
        </w:rPr>
        <w:t>de</w:t>
      </w:r>
      <w:r w:rsidR="002E030A" w:rsidRPr="00FF7074">
        <w:rPr>
          <w:b/>
          <w:bCs/>
          <w:i/>
          <w:iCs/>
          <w:lang w:val="pt-PT"/>
        </w:rPr>
        <w:t xml:space="preserve"> scouting</w:t>
      </w:r>
      <w:r w:rsidR="002E030A" w:rsidRPr="00FF7074">
        <w:rPr>
          <w:b/>
          <w:bCs/>
          <w:lang w:val="pt-PT"/>
        </w:rPr>
        <w:t xml:space="preserve"> tecnológico</w:t>
      </w:r>
    </w:p>
    <w:p w14:paraId="06076145" w14:textId="629B1507" w:rsidR="00473A83" w:rsidRPr="00FF7074" w:rsidRDefault="00473A83" w:rsidP="002E030A">
      <w:pPr>
        <w:ind w:firstLine="0"/>
        <w:rPr>
          <w:lang w:val="pt-PT"/>
        </w:rPr>
      </w:pPr>
      <w:r w:rsidRPr="00FF7074">
        <w:rPr>
          <w:lang w:val="pt-PT"/>
        </w:rPr>
        <w:t xml:space="preserve">Existem muitas ferramentas e recursos que podem ser utilizados para </w:t>
      </w:r>
      <w:r w:rsidR="005D3BCF" w:rsidRPr="00FF7074">
        <w:rPr>
          <w:lang w:val="pt-PT"/>
        </w:rPr>
        <w:t xml:space="preserve">o </w:t>
      </w:r>
      <w:r w:rsidR="005D3BCF" w:rsidRPr="00FF7074">
        <w:rPr>
          <w:i/>
          <w:lang w:val="pt-PT"/>
        </w:rPr>
        <w:t>scouting</w:t>
      </w:r>
      <w:r w:rsidR="005D3BCF" w:rsidRPr="00FF7074">
        <w:rPr>
          <w:lang w:val="pt-PT"/>
        </w:rPr>
        <w:t xml:space="preserve"> tecnológico</w:t>
      </w:r>
      <w:r w:rsidRPr="00FF7074">
        <w:rPr>
          <w:lang w:val="pt-PT"/>
        </w:rPr>
        <w:t xml:space="preserve">, dependendo do âmbito e das necessidades do </w:t>
      </w:r>
      <w:r w:rsidR="002E030A" w:rsidRPr="00FF7074">
        <w:rPr>
          <w:lang w:val="pt-PT"/>
        </w:rPr>
        <w:t>projeto</w:t>
      </w:r>
      <w:r w:rsidRPr="00FF7074">
        <w:rPr>
          <w:lang w:val="pt-PT"/>
        </w:rPr>
        <w:t xml:space="preserve">. Eis algumas das ferramentas </w:t>
      </w:r>
      <w:r w:rsidR="002E030A" w:rsidRPr="00FF7074">
        <w:rPr>
          <w:i/>
          <w:lang w:val="pt-PT"/>
        </w:rPr>
        <w:t>de scouting tecnológico</w:t>
      </w:r>
      <w:r w:rsidRPr="00FF7074">
        <w:rPr>
          <w:lang w:val="pt-PT"/>
        </w:rPr>
        <w:t xml:space="preserve"> mais utilizadas:</w:t>
      </w:r>
    </w:p>
    <w:p w14:paraId="642B41B2" w14:textId="77777777" w:rsidR="00473A83" w:rsidRPr="00FF7074" w:rsidRDefault="00473A83" w:rsidP="00BB43B5">
      <w:pPr>
        <w:pStyle w:val="PargrafodaLista"/>
        <w:numPr>
          <w:ilvl w:val="0"/>
          <w:numId w:val="23"/>
        </w:numPr>
        <w:spacing w:before="0"/>
        <w:ind w:left="425" w:hanging="357"/>
        <w:rPr>
          <w:lang w:val="pt-PT"/>
        </w:rPr>
      </w:pPr>
      <w:r w:rsidRPr="00261575">
        <w:rPr>
          <w:i/>
          <w:iCs/>
          <w:color w:val="3CC4A4"/>
          <w:lang w:val="pt-PT"/>
        </w:rPr>
        <w:t>Bases de dados de patentes</w:t>
      </w:r>
      <w:r w:rsidRPr="00FF7074">
        <w:rPr>
          <w:lang w:val="pt-PT"/>
        </w:rPr>
        <w:t xml:space="preserve">: As bases de dados de patentes, como o United </w:t>
      </w:r>
      <w:proofErr w:type="spellStart"/>
      <w:r w:rsidRPr="00FF7074">
        <w:rPr>
          <w:lang w:val="pt-PT"/>
        </w:rPr>
        <w:t>States</w:t>
      </w:r>
      <w:proofErr w:type="spellEnd"/>
      <w:r w:rsidRPr="00FF7074">
        <w:rPr>
          <w:lang w:val="pt-PT"/>
        </w:rPr>
        <w:t xml:space="preserve"> </w:t>
      </w:r>
      <w:proofErr w:type="spellStart"/>
      <w:r w:rsidRPr="00FF7074">
        <w:rPr>
          <w:lang w:val="pt-PT"/>
        </w:rPr>
        <w:t>Patent</w:t>
      </w:r>
      <w:proofErr w:type="spellEnd"/>
      <w:r w:rsidRPr="00FF7074">
        <w:rPr>
          <w:lang w:val="pt-PT"/>
        </w:rPr>
        <w:t xml:space="preserve"> </w:t>
      </w:r>
      <w:proofErr w:type="spellStart"/>
      <w:r w:rsidRPr="00FF7074">
        <w:rPr>
          <w:lang w:val="pt-PT"/>
        </w:rPr>
        <w:t>and</w:t>
      </w:r>
      <w:proofErr w:type="spellEnd"/>
      <w:r w:rsidRPr="00FF7074">
        <w:rPr>
          <w:lang w:val="pt-PT"/>
        </w:rPr>
        <w:t xml:space="preserve"> </w:t>
      </w:r>
      <w:proofErr w:type="spellStart"/>
      <w:r w:rsidRPr="00FF7074">
        <w:rPr>
          <w:lang w:val="pt-PT"/>
        </w:rPr>
        <w:t>Trademark</w:t>
      </w:r>
      <w:proofErr w:type="spellEnd"/>
      <w:r w:rsidRPr="00FF7074">
        <w:rPr>
          <w:lang w:val="pt-PT"/>
        </w:rPr>
        <w:t xml:space="preserve"> Office (USPTO)</w:t>
      </w:r>
      <w:r w:rsidRPr="00FF7074">
        <w:rPr>
          <w:rStyle w:val="Refdenotaderodap"/>
          <w:lang w:val="pt-PT"/>
        </w:rPr>
        <w:footnoteReference w:id="2"/>
      </w:r>
      <w:r w:rsidRPr="00FF7074">
        <w:rPr>
          <w:lang w:val="pt-PT"/>
        </w:rPr>
        <w:t xml:space="preserve"> , a Organização Mundial da Propriedade Intelectual (OMPI)</w:t>
      </w:r>
      <w:r w:rsidRPr="00FF7074">
        <w:rPr>
          <w:rStyle w:val="Refdenotaderodap"/>
          <w:lang w:val="pt-PT"/>
        </w:rPr>
        <w:footnoteReference w:id="3"/>
      </w:r>
      <w:r w:rsidRPr="00FF7074">
        <w:rPr>
          <w:lang w:val="pt-PT"/>
        </w:rPr>
        <w:t xml:space="preserve"> e o Instituto Europeu de Patentes (IEP)</w:t>
      </w:r>
      <w:r w:rsidRPr="00FF7074">
        <w:rPr>
          <w:rStyle w:val="Refdenotaderodap"/>
          <w:lang w:val="pt-PT"/>
        </w:rPr>
        <w:footnoteReference w:id="4"/>
      </w:r>
      <w:r w:rsidRPr="00FF7074">
        <w:rPr>
          <w:lang w:val="pt-PT"/>
        </w:rPr>
        <w:t xml:space="preserve"> podem ser utilizadas para procurar tecnologias que tenham sido patenteadas em áreas específicas. Em geral, fornecem uma grande quantidade de informações sobre tecnologias novas e emergentes, bem como sobre as empresas e os indivíduos que as estão a desenvolver.</w:t>
      </w:r>
    </w:p>
    <w:p w14:paraId="6A843B41" w14:textId="77777777" w:rsidR="00473A83" w:rsidRPr="00FF7074" w:rsidRDefault="00473A83" w:rsidP="00BB43B5">
      <w:pPr>
        <w:pStyle w:val="PargrafodaLista"/>
        <w:numPr>
          <w:ilvl w:val="0"/>
          <w:numId w:val="23"/>
        </w:numPr>
        <w:spacing w:before="0"/>
        <w:ind w:left="425" w:hanging="357"/>
        <w:rPr>
          <w:lang w:val="pt-PT"/>
        </w:rPr>
      </w:pPr>
      <w:r w:rsidRPr="00261575">
        <w:rPr>
          <w:i/>
          <w:iCs/>
          <w:color w:val="3CC4A4"/>
          <w:lang w:val="pt-PT"/>
        </w:rPr>
        <w:t>Bases de dados de artigos de investigação</w:t>
      </w:r>
      <w:r w:rsidRPr="00FF7074">
        <w:rPr>
          <w:lang w:val="pt-PT"/>
        </w:rPr>
        <w:t xml:space="preserve">: As bases de dados de artigos de investigação, tais como IEEE </w:t>
      </w:r>
      <w:proofErr w:type="spellStart"/>
      <w:r w:rsidRPr="00FF7074">
        <w:rPr>
          <w:lang w:val="pt-PT"/>
        </w:rPr>
        <w:t>Xplore</w:t>
      </w:r>
      <w:proofErr w:type="spellEnd"/>
      <w:r w:rsidRPr="00FF7074">
        <w:rPr>
          <w:rStyle w:val="Refdenotaderodap"/>
          <w:lang w:val="pt-PT"/>
        </w:rPr>
        <w:footnoteReference w:id="5"/>
      </w:r>
      <w:r w:rsidRPr="00FF7074">
        <w:rPr>
          <w:lang w:val="pt-PT"/>
        </w:rPr>
        <w:t xml:space="preserve"> , </w:t>
      </w:r>
      <w:proofErr w:type="spellStart"/>
      <w:r w:rsidRPr="00FF7074">
        <w:rPr>
          <w:lang w:val="pt-PT"/>
        </w:rPr>
        <w:t>ScienceDirect</w:t>
      </w:r>
      <w:proofErr w:type="spellEnd"/>
      <w:r w:rsidRPr="00FF7074">
        <w:rPr>
          <w:rStyle w:val="Refdenotaderodap"/>
          <w:lang w:val="pt-PT"/>
        </w:rPr>
        <w:footnoteReference w:id="6"/>
      </w:r>
      <w:r w:rsidRPr="00FF7074">
        <w:rPr>
          <w:lang w:val="pt-PT"/>
        </w:rPr>
        <w:t xml:space="preserve"> , Google </w:t>
      </w:r>
      <w:proofErr w:type="spellStart"/>
      <w:r w:rsidRPr="00FF7074">
        <w:rPr>
          <w:lang w:val="pt-PT"/>
        </w:rPr>
        <w:t>Scholar</w:t>
      </w:r>
      <w:proofErr w:type="spellEnd"/>
      <w:r w:rsidRPr="00FF7074">
        <w:rPr>
          <w:rStyle w:val="Refdenotaderodap"/>
          <w:lang w:val="pt-PT"/>
        </w:rPr>
        <w:footnoteReference w:id="7"/>
      </w:r>
      <w:r w:rsidRPr="00FF7074">
        <w:rPr>
          <w:lang w:val="pt-PT"/>
        </w:rPr>
        <w:t xml:space="preserve"> , </w:t>
      </w:r>
      <w:proofErr w:type="spellStart"/>
      <w:r w:rsidRPr="00FF7074">
        <w:rPr>
          <w:lang w:val="pt-PT"/>
        </w:rPr>
        <w:t>Scopus</w:t>
      </w:r>
      <w:proofErr w:type="spellEnd"/>
      <w:r w:rsidRPr="00FF7074">
        <w:rPr>
          <w:rStyle w:val="Refdenotaderodap"/>
          <w:lang w:val="pt-PT"/>
        </w:rPr>
        <w:footnoteReference w:id="8"/>
      </w:r>
      <w:r w:rsidRPr="00FF7074">
        <w:rPr>
          <w:lang w:val="pt-PT"/>
        </w:rPr>
        <w:t xml:space="preserve"> e Web of </w:t>
      </w:r>
      <w:proofErr w:type="spellStart"/>
      <w:r w:rsidRPr="00FF7074">
        <w:rPr>
          <w:lang w:val="pt-PT"/>
        </w:rPr>
        <w:t>Science</w:t>
      </w:r>
      <w:proofErr w:type="spellEnd"/>
      <w:r w:rsidRPr="00FF7074">
        <w:rPr>
          <w:rStyle w:val="Refdenotaderodap"/>
          <w:lang w:val="pt-PT"/>
        </w:rPr>
        <w:footnoteReference w:id="9"/>
      </w:r>
      <w:r w:rsidRPr="00FF7074">
        <w:rPr>
          <w:lang w:val="pt-PT"/>
        </w:rPr>
        <w:t xml:space="preserve"> podem ser utilizadas para procurar novas tecnologias que estão a ser desenvolvidas em instituições académicas.</w:t>
      </w:r>
    </w:p>
    <w:p w14:paraId="6DE21489" w14:textId="39EB1C5A" w:rsidR="00473A83" w:rsidRPr="00FF7074" w:rsidRDefault="005D4ED8" w:rsidP="00BB43B5">
      <w:pPr>
        <w:pStyle w:val="PargrafodaLista"/>
        <w:numPr>
          <w:ilvl w:val="0"/>
          <w:numId w:val="23"/>
        </w:numPr>
        <w:spacing w:before="0"/>
        <w:ind w:left="425" w:hanging="357"/>
        <w:rPr>
          <w:lang w:val="pt-PT"/>
        </w:rPr>
      </w:pPr>
      <w:r w:rsidRPr="00261575">
        <w:rPr>
          <w:i/>
          <w:iCs/>
          <w:color w:val="3CC4A4"/>
          <w:lang w:val="pt-PT"/>
        </w:rPr>
        <w:lastRenderedPageBreak/>
        <w:t>Internet</w:t>
      </w:r>
      <w:r w:rsidR="00473A83" w:rsidRPr="00261575">
        <w:rPr>
          <w:i/>
          <w:iCs/>
          <w:color w:val="3CC4A4"/>
          <w:lang w:val="pt-PT"/>
        </w:rPr>
        <w:t xml:space="preserve"> de notícias sobre tecnologia</w:t>
      </w:r>
      <w:r w:rsidR="00473A83" w:rsidRPr="00FF7074">
        <w:rPr>
          <w:lang w:val="pt-PT"/>
        </w:rPr>
        <w:t xml:space="preserve">: Os sítios Web de notícias sobre tecnologia, como o </w:t>
      </w:r>
      <w:proofErr w:type="spellStart"/>
      <w:r w:rsidR="00473A83" w:rsidRPr="00FF7074">
        <w:rPr>
          <w:lang w:val="pt-PT"/>
        </w:rPr>
        <w:t>TechCrunch</w:t>
      </w:r>
      <w:proofErr w:type="spellEnd"/>
      <w:r w:rsidR="00473A83" w:rsidRPr="00FF7074">
        <w:rPr>
          <w:rStyle w:val="Refdenotaderodap"/>
          <w:lang w:val="pt-PT"/>
        </w:rPr>
        <w:footnoteReference w:id="10"/>
      </w:r>
      <w:r w:rsidR="00473A83" w:rsidRPr="00FF7074">
        <w:rPr>
          <w:lang w:val="pt-PT"/>
        </w:rPr>
        <w:t xml:space="preserve"> , o </w:t>
      </w:r>
      <w:proofErr w:type="spellStart"/>
      <w:r w:rsidR="00473A83" w:rsidRPr="00FF7074">
        <w:rPr>
          <w:lang w:val="pt-PT"/>
        </w:rPr>
        <w:t>Wired</w:t>
      </w:r>
      <w:proofErr w:type="spellEnd"/>
      <w:r w:rsidR="00473A83" w:rsidRPr="00FF7074">
        <w:rPr>
          <w:rStyle w:val="Refdenotaderodap"/>
          <w:lang w:val="pt-PT"/>
        </w:rPr>
        <w:footnoteReference w:id="11"/>
      </w:r>
      <w:r w:rsidR="00473A83" w:rsidRPr="00FF7074">
        <w:rPr>
          <w:lang w:val="pt-PT"/>
        </w:rPr>
        <w:t xml:space="preserve"> e o </w:t>
      </w:r>
      <w:proofErr w:type="spellStart"/>
      <w:r w:rsidR="00473A83" w:rsidRPr="00FF7074">
        <w:rPr>
          <w:lang w:val="pt-PT"/>
        </w:rPr>
        <w:t>The</w:t>
      </w:r>
      <w:proofErr w:type="spellEnd"/>
      <w:r w:rsidR="00473A83" w:rsidRPr="00FF7074">
        <w:rPr>
          <w:lang w:val="pt-PT"/>
        </w:rPr>
        <w:t xml:space="preserve"> </w:t>
      </w:r>
      <w:proofErr w:type="spellStart"/>
      <w:r w:rsidR="00473A83" w:rsidRPr="00FF7074">
        <w:rPr>
          <w:lang w:val="pt-PT"/>
        </w:rPr>
        <w:t>Verge</w:t>
      </w:r>
      <w:proofErr w:type="spellEnd"/>
      <w:r w:rsidR="00473A83" w:rsidRPr="00FF7074">
        <w:rPr>
          <w:rStyle w:val="Refdenotaderodap"/>
          <w:lang w:val="pt-PT"/>
        </w:rPr>
        <w:footnoteReference w:id="12"/>
      </w:r>
      <w:r w:rsidR="00473A83" w:rsidRPr="00FF7074">
        <w:rPr>
          <w:lang w:val="pt-PT"/>
        </w:rPr>
        <w:t xml:space="preserve"> podem ser utilizados para se manter a par das últimas tendências e desenvolvimentos tecnológicos.</w:t>
      </w:r>
    </w:p>
    <w:p w14:paraId="153AC981" w14:textId="4C2365CE" w:rsidR="00473A83" w:rsidRPr="00FF7074" w:rsidRDefault="00473A83" w:rsidP="00BB43B5">
      <w:pPr>
        <w:pStyle w:val="PargrafodaLista"/>
        <w:numPr>
          <w:ilvl w:val="0"/>
          <w:numId w:val="23"/>
        </w:numPr>
        <w:spacing w:before="0"/>
        <w:ind w:left="426"/>
        <w:rPr>
          <w:lang w:val="pt-PT"/>
        </w:rPr>
      </w:pPr>
      <w:r w:rsidRPr="00261575">
        <w:rPr>
          <w:i/>
          <w:iCs/>
          <w:color w:val="3CC4A4"/>
          <w:lang w:val="pt-PT"/>
        </w:rPr>
        <w:t>Bases de dados de start-ups, acelerador</w:t>
      </w:r>
      <w:r w:rsidR="005D4ED8" w:rsidRPr="00261575">
        <w:rPr>
          <w:i/>
          <w:iCs/>
          <w:color w:val="3CC4A4"/>
          <w:lang w:val="pt-PT"/>
        </w:rPr>
        <w:t>a</w:t>
      </w:r>
      <w:r w:rsidRPr="00261575">
        <w:rPr>
          <w:i/>
          <w:iCs/>
          <w:color w:val="3CC4A4"/>
          <w:lang w:val="pt-PT"/>
        </w:rPr>
        <w:t>s e incubadoras</w:t>
      </w:r>
      <w:r w:rsidRPr="00FF7074">
        <w:rPr>
          <w:lang w:val="pt-PT"/>
        </w:rPr>
        <w:t xml:space="preserve">: As bases de dados de empresas em fase de arranque, como a </w:t>
      </w:r>
      <w:proofErr w:type="spellStart"/>
      <w:r w:rsidRPr="00FF7074">
        <w:rPr>
          <w:lang w:val="pt-PT"/>
        </w:rPr>
        <w:t>Crunchbase</w:t>
      </w:r>
      <w:proofErr w:type="spellEnd"/>
      <w:r w:rsidRPr="00FF7074">
        <w:rPr>
          <w:rStyle w:val="Refdenotaderodap"/>
          <w:lang w:val="pt-PT"/>
        </w:rPr>
        <w:footnoteReference w:id="13"/>
      </w:r>
      <w:r w:rsidRPr="00FF7074">
        <w:rPr>
          <w:lang w:val="pt-PT"/>
        </w:rPr>
        <w:t xml:space="preserve"> e a </w:t>
      </w:r>
      <w:proofErr w:type="spellStart"/>
      <w:r w:rsidRPr="00FF7074">
        <w:rPr>
          <w:lang w:val="pt-PT"/>
        </w:rPr>
        <w:t>AngelList</w:t>
      </w:r>
      <w:proofErr w:type="spellEnd"/>
      <w:r w:rsidRPr="00FF7074">
        <w:rPr>
          <w:rStyle w:val="Refdenotaderodap"/>
          <w:lang w:val="pt-PT"/>
        </w:rPr>
        <w:footnoteReference w:id="14"/>
      </w:r>
      <w:r w:rsidRPr="00FF7074">
        <w:rPr>
          <w:lang w:val="pt-PT"/>
        </w:rPr>
        <w:t xml:space="preserve"> , podem ser utilizadas para identificar empresas em fase de arranque emergentes que estejam a desenvolver novas tecnologias. Além disso, os aceleradores de arranque e as incubadoras proporcionam uma forma de estabelecer contacto com empresas em fase inicial que estão a desenvolver novas tecnologias. Estas organizações podem fornecer acesso a recursos, orientação e oportunidades de investimento.</w:t>
      </w:r>
    </w:p>
    <w:p w14:paraId="0B51058D" w14:textId="77777777" w:rsidR="00473A83" w:rsidRPr="00FF7074" w:rsidRDefault="00473A83" w:rsidP="00BB43B5">
      <w:pPr>
        <w:pStyle w:val="PargrafodaLista"/>
        <w:numPr>
          <w:ilvl w:val="0"/>
          <w:numId w:val="23"/>
        </w:numPr>
        <w:spacing w:before="0"/>
        <w:ind w:left="426"/>
        <w:rPr>
          <w:lang w:val="pt-PT"/>
        </w:rPr>
      </w:pPr>
      <w:proofErr w:type="spellStart"/>
      <w:r w:rsidRPr="00261575">
        <w:rPr>
          <w:i/>
          <w:iCs/>
          <w:color w:val="3CC4A4"/>
          <w:lang w:val="pt-PT"/>
        </w:rPr>
        <w:t>Pólos</w:t>
      </w:r>
      <w:proofErr w:type="spellEnd"/>
      <w:r w:rsidRPr="00261575">
        <w:rPr>
          <w:i/>
          <w:iCs/>
          <w:color w:val="3CC4A4"/>
          <w:lang w:val="pt-PT"/>
        </w:rPr>
        <w:t xml:space="preserve"> e clusters de inovação</w:t>
      </w:r>
      <w:r w:rsidRPr="00FF7074">
        <w:rPr>
          <w:lang w:val="pt-PT"/>
        </w:rPr>
        <w:t xml:space="preserve">: Os </w:t>
      </w:r>
      <w:proofErr w:type="spellStart"/>
      <w:r w:rsidRPr="00FF7074">
        <w:rPr>
          <w:lang w:val="pt-PT"/>
        </w:rPr>
        <w:t>pólos</w:t>
      </w:r>
      <w:proofErr w:type="spellEnd"/>
      <w:r w:rsidRPr="00FF7074">
        <w:rPr>
          <w:lang w:val="pt-PT"/>
        </w:rPr>
        <w:t xml:space="preserve"> e clusters de inovação são regiões geográficas onde várias empresas, instituições académicas e outras organizações estão concentradas na inovação e no desenvolvimento tecnológico. Essas regiões podem ser uma fonte valiosa de informações e oportunidades de colaboração.</w:t>
      </w:r>
    </w:p>
    <w:p w14:paraId="3E4EA1BA" w14:textId="77777777" w:rsidR="00473A83" w:rsidRPr="00FF7074" w:rsidRDefault="00473A83" w:rsidP="00BB43B5">
      <w:pPr>
        <w:pStyle w:val="PargrafodaLista"/>
        <w:numPr>
          <w:ilvl w:val="0"/>
          <w:numId w:val="23"/>
        </w:numPr>
        <w:spacing w:before="0"/>
        <w:ind w:left="426"/>
        <w:rPr>
          <w:lang w:val="pt-PT"/>
        </w:rPr>
      </w:pPr>
      <w:r w:rsidRPr="00261575">
        <w:rPr>
          <w:i/>
          <w:iCs/>
          <w:color w:val="3CC4A4"/>
          <w:lang w:val="pt-PT"/>
        </w:rPr>
        <w:t>Eventos do sector</w:t>
      </w:r>
      <w:r w:rsidRPr="00FF7074">
        <w:rPr>
          <w:lang w:val="pt-PT"/>
        </w:rPr>
        <w:t>: Os eventos do sector, como feiras, conferências e seminários, podem ser utilizados para estabelecer contactos com especialistas num determinado domínio, conhecer novas tecnologias e assistir a demonstrações de produtos e serviços de ponta.</w:t>
      </w:r>
    </w:p>
    <w:p w14:paraId="699F3C8D" w14:textId="77777777" w:rsidR="00473A83" w:rsidRPr="00FF7074" w:rsidRDefault="00473A83" w:rsidP="00BB43B5">
      <w:pPr>
        <w:pStyle w:val="PargrafodaLista"/>
        <w:numPr>
          <w:ilvl w:val="0"/>
          <w:numId w:val="23"/>
        </w:numPr>
        <w:spacing w:before="0"/>
        <w:ind w:left="426"/>
        <w:rPr>
          <w:lang w:val="pt-PT"/>
        </w:rPr>
      </w:pPr>
      <w:r w:rsidRPr="00261575">
        <w:rPr>
          <w:i/>
          <w:iCs/>
          <w:color w:val="3CC4A4"/>
          <w:lang w:val="pt-PT"/>
        </w:rPr>
        <w:t>Plataformas de gestão da inovação</w:t>
      </w:r>
      <w:r w:rsidRPr="00FF7074">
        <w:rPr>
          <w:lang w:val="pt-PT"/>
        </w:rPr>
        <w:t xml:space="preserve">: As plataformas de gestão da inovação, como a </w:t>
      </w:r>
      <w:proofErr w:type="spellStart"/>
      <w:r w:rsidRPr="00FF7074">
        <w:rPr>
          <w:lang w:val="pt-PT"/>
        </w:rPr>
        <w:t>IdeaScale</w:t>
      </w:r>
      <w:proofErr w:type="spellEnd"/>
      <w:r w:rsidRPr="00FF7074">
        <w:rPr>
          <w:rStyle w:val="Refdenotaderodap"/>
          <w:lang w:val="pt-PT"/>
        </w:rPr>
        <w:footnoteReference w:id="15"/>
      </w:r>
      <w:r w:rsidRPr="00FF7074">
        <w:rPr>
          <w:lang w:val="pt-PT"/>
        </w:rPr>
        <w:t xml:space="preserve"> , a </w:t>
      </w:r>
      <w:proofErr w:type="spellStart"/>
      <w:r w:rsidRPr="00FF7074">
        <w:rPr>
          <w:lang w:val="pt-PT"/>
        </w:rPr>
        <w:t>Brightidea</w:t>
      </w:r>
      <w:proofErr w:type="spellEnd"/>
      <w:r w:rsidRPr="00FF7074">
        <w:rPr>
          <w:rStyle w:val="Refdenotaderodap"/>
          <w:lang w:val="pt-PT"/>
        </w:rPr>
        <w:footnoteReference w:id="16"/>
      </w:r>
      <w:r w:rsidRPr="00FF7074">
        <w:rPr>
          <w:lang w:val="pt-PT"/>
        </w:rPr>
        <w:t xml:space="preserve"> e a </w:t>
      </w:r>
      <w:proofErr w:type="spellStart"/>
      <w:r w:rsidRPr="00FF7074">
        <w:rPr>
          <w:lang w:val="pt-PT"/>
        </w:rPr>
        <w:t>Spigit</w:t>
      </w:r>
      <w:proofErr w:type="spellEnd"/>
      <w:r w:rsidRPr="00FF7074">
        <w:rPr>
          <w:rStyle w:val="Refdenotaderodap"/>
          <w:lang w:val="pt-PT"/>
        </w:rPr>
        <w:footnoteReference w:id="17"/>
      </w:r>
      <w:r w:rsidRPr="00FF7074">
        <w:rPr>
          <w:lang w:val="pt-PT"/>
        </w:rPr>
        <w:t xml:space="preserve"> podem ser utilizadas para recolher e avaliar ideias de funcionários, clientes e outras partes interessadas.</w:t>
      </w:r>
    </w:p>
    <w:p w14:paraId="1CE2E137" w14:textId="77777777" w:rsidR="00473A83" w:rsidRPr="00FF7074" w:rsidRDefault="00473A83" w:rsidP="00BB43B5">
      <w:pPr>
        <w:pStyle w:val="PargrafodaLista"/>
        <w:numPr>
          <w:ilvl w:val="0"/>
          <w:numId w:val="23"/>
        </w:numPr>
        <w:spacing w:before="0"/>
        <w:ind w:left="426"/>
        <w:rPr>
          <w:lang w:val="pt-PT"/>
        </w:rPr>
      </w:pPr>
      <w:r w:rsidRPr="00261575">
        <w:rPr>
          <w:i/>
          <w:iCs/>
          <w:color w:val="3CC4A4"/>
          <w:lang w:val="pt-PT"/>
        </w:rPr>
        <w:t>Plataformas de informação de mercado</w:t>
      </w:r>
      <w:r w:rsidRPr="00FF7074">
        <w:rPr>
          <w:lang w:val="pt-PT"/>
        </w:rPr>
        <w:t>: As plataformas de informação de mercado, como a CB Insights</w:t>
      </w:r>
      <w:r w:rsidRPr="00FF7074">
        <w:rPr>
          <w:rStyle w:val="Refdenotaderodap"/>
          <w:lang w:val="pt-PT"/>
        </w:rPr>
        <w:footnoteReference w:id="18"/>
      </w:r>
      <w:r w:rsidRPr="00FF7074">
        <w:rPr>
          <w:lang w:val="pt-PT"/>
        </w:rPr>
        <w:t xml:space="preserve"> e a Gartner</w:t>
      </w:r>
      <w:r w:rsidRPr="00FF7074">
        <w:rPr>
          <w:rStyle w:val="Refdenotaderodap"/>
          <w:lang w:val="pt-PT"/>
        </w:rPr>
        <w:footnoteReference w:id="19"/>
      </w:r>
      <w:r w:rsidRPr="00FF7074">
        <w:rPr>
          <w:lang w:val="pt-PT"/>
        </w:rPr>
        <w:t xml:space="preserve"> , podem ser utilizadas para acompanhar as tendências tecnológicas e identificar potenciais perturbadores num determinado sector.</w:t>
      </w:r>
    </w:p>
    <w:p w14:paraId="46E6B559" w14:textId="77777777" w:rsidR="00473A83" w:rsidRPr="00FF7074" w:rsidRDefault="00473A83" w:rsidP="00BB43B5">
      <w:pPr>
        <w:pStyle w:val="PargrafodaLista"/>
        <w:numPr>
          <w:ilvl w:val="0"/>
          <w:numId w:val="23"/>
        </w:numPr>
        <w:spacing w:before="0"/>
        <w:ind w:left="426"/>
        <w:rPr>
          <w:lang w:val="pt-PT"/>
        </w:rPr>
      </w:pPr>
      <w:r w:rsidRPr="00261575">
        <w:rPr>
          <w:i/>
          <w:iCs/>
          <w:color w:val="3CC4A4"/>
          <w:lang w:val="pt-PT"/>
        </w:rPr>
        <w:lastRenderedPageBreak/>
        <w:t>Plataformas de inovação aberta</w:t>
      </w:r>
      <w:r w:rsidRPr="00FF7074">
        <w:rPr>
          <w:lang w:val="pt-PT"/>
        </w:rPr>
        <w:t xml:space="preserve">: As plataformas de inovação aberta, como a </w:t>
      </w:r>
      <w:proofErr w:type="spellStart"/>
      <w:r w:rsidRPr="00FF7074">
        <w:rPr>
          <w:lang w:val="pt-PT"/>
        </w:rPr>
        <w:t>InnoCentive</w:t>
      </w:r>
      <w:proofErr w:type="spellEnd"/>
      <w:r w:rsidRPr="00FF7074">
        <w:rPr>
          <w:rStyle w:val="Refdenotaderodap"/>
          <w:lang w:val="pt-PT"/>
        </w:rPr>
        <w:footnoteReference w:id="20"/>
      </w:r>
      <w:r w:rsidRPr="00FF7074">
        <w:rPr>
          <w:lang w:val="pt-PT"/>
        </w:rPr>
        <w:t xml:space="preserve"> e a </w:t>
      </w:r>
      <w:proofErr w:type="spellStart"/>
      <w:r w:rsidRPr="00FF7074">
        <w:rPr>
          <w:lang w:val="pt-PT"/>
        </w:rPr>
        <w:t>NineSigma</w:t>
      </w:r>
      <w:proofErr w:type="spellEnd"/>
      <w:r w:rsidRPr="00FF7074">
        <w:rPr>
          <w:rStyle w:val="Refdenotaderodap"/>
          <w:lang w:val="pt-PT"/>
        </w:rPr>
        <w:footnoteReference w:id="21"/>
      </w:r>
      <w:r w:rsidRPr="00FF7074">
        <w:rPr>
          <w:lang w:val="pt-PT"/>
        </w:rPr>
        <w:t xml:space="preserve"> , podem ser utilizadas para estabelecer contactos com peritos externos e resolver desafios tecnológicos específicos.</w:t>
      </w:r>
    </w:p>
    <w:p w14:paraId="1BC80448" w14:textId="56724EB7" w:rsidR="00473A83" w:rsidRPr="00FF7074" w:rsidRDefault="00473A83" w:rsidP="00BB43B5">
      <w:pPr>
        <w:pStyle w:val="PargrafodaLista"/>
        <w:numPr>
          <w:ilvl w:val="0"/>
          <w:numId w:val="23"/>
        </w:numPr>
        <w:spacing w:before="0"/>
        <w:ind w:left="426"/>
        <w:rPr>
          <w:lang w:val="pt-PT"/>
        </w:rPr>
      </w:pPr>
      <w:r w:rsidRPr="00261575">
        <w:rPr>
          <w:i/>
          <w:iCs/>
          <w:color w:val="3CC4A4"/>
          <w:lang w:val="pt-PT"/>
        </w:rPr>
        <w:t xml:space="preserve">Software </w:t>
      </w:r>
      <w:r w:rsidR="002E030A" w:rsidRPr="00261575">
        <w:rPr>
          <w:i/>
          <w:iCs/>
          <w:color w:val="3CC4A4"/>
          <w:lang w:val="pt-PT"/>
        </w:rPr>
        <w:t>de scouting tecnológico</w:t>
      </w:r>
      <w:r w:rsidRPr="00FF7074">
        <w:rPr>
          <w:lang w:val="pt-PT"/>
        </w:rPr>
        <w:t xml:space="preserve">: Existem muitas plataformas de software disponíveis que podem ajudar a simplificar e automatizar os processos </w:t>
      </w:r>
      <w:r w:rsidR="002E030A" w:rsidRPr="00FF7074">
        <w:rPr>
          <w:i/>
          <w:lang w:val="pt-PT"/>
        </w:rPr>
        <w:t>de scouting tecnológico</w:t>
      </w:r>
      <w:r w:rsidRPr="00FF7074">
        <w:rPr>
          <w:lang w:val="pt-PT"/>
        </w:rPr>
        <w:t xml:space="preserve">, como o </w:t>
      </w:r>
      <w:proofErr w:type="spellStart"/>
      <w:r w:rsidRPr="00FF7074">
        <w:rPr>
          <w:lang w:val="pt-PT"/>
        </w:rPr>
        <w:t>Cipher</w:t>
      </w:r>
      <w:proofErr w:type="spellEnd"/>
      <w:r w:rsidRPr="00FF7074">
        <w:rPr>
          <w:rStyle w:val="Refdenotaderodap"/>
          <w:lang w:val="pt-PT"/>
        </w:rPr>
        <w:footnoteReference w:id="22"/>
      </w:r>
      <w:r w:rsidRPr="00FF7074">
        <w:rPr>
          <w:lang w:val="pt-PT"/>
        </w:rPr>
        <w:t xml:space="preserve"> , o </w:t>
      </w:r>
      <w:proofErr w:type="spellStart"/>
      <w:r w:rsidRPr="00FF7074">
        <w:rPr>
          <w:lang w:val="pt-PT"/>
        </w:rPr>
        <w:t>PatSnap</w:t>
      </w:r>
      <w:proofErr w:type="spellEnd"/>
      <w:r w:rsidRPr="00FF7074">
        <w:rPr>
          <w:rStyle w:val="Refdenotaderodap"/>
          <w:lang w:val="pt-PT"/>
        </w:rPr>
        <w:footnoteReference w:id="23"/>
      </w:r>
      <w:r w:rsidRPr="00FF7074">
        <w:rPr>
          <w:lang w:val="pt-PT"/>
        </w:rPr>
        <w:t xml:space="preserve"> e o </w:t>
      </w:r>
      <w:proofErr w:type="spellStart"/>
      <w:r w:rsidRPr="00FF7074">
        <w:rPr>
          <w:lang w:val="pt-PT"/>
        </w:rPr>
        <w:t>Innography</w:t>
      </w:r>
      <w:proofErr w:type="spellEnd"/>
      <w:r w:rsidRPr="00FF7074">
        <w:rPr>
          <w:rStyle w:val="Refdenotaderodap"/>
          <w:lang w:val="pt-PT"/>
        </w:rPr>
        <w:footnoteReference w:id="24"/>
      </w:r>
      <w:r w:rsidRPr="00FF7074">
        <w:rPr>
          <w:lang w:val="pt-PT"/>
        </w:rPr>
        <w:t xml:space="preserve"> . Estas ferramentas utilizam inteligência artificial e algoritmos de aprendizagem automática para analisar grandes quantidades de dados e identificar potenciais tecnologias e tendências.</w:t>
      </w:r>
    </w:p>
    <w:p w14:paraId="6358F5AD" w14:textId="72E8084C" w:rsidR="00473A83" w:rsidRPr="00FF7074" w:rsidRDefault="00473A83" w:rsidP="00BB43B5">
      <w:pPr>
        <w:pStyle w:val="PargrafodaLista"/>
        <w:numPr>
          <w:ilvl w:val="0"/>
          <w:numId w:val="23"/>
        </w:numPr>
        <w:spacing w:before="0"/>
        <w:ind w:left="426"/>
        <w:rPr>
          <w:lang w:val="pt-PT"/>
        </w:rPr>
      </w:pPr>
      <w:r w:rsidRPr="00261575">
        <w:rPr>
          <w:i/>
          <w:iCs/>
          <w:color w:val="3CC4A4"/>
          <w:lang w:val="pt-PT"/>
        </w:rPr>
        <w:t>Empresas de consultoria e peritos</w:t>
      </w:r>
      <w:r w:rsidRPr="00FF7074">
        <w:rPr>
          <w:lang w:val="pt-PT"/>
        </w:rPr>
        <w:t xml:space="preserve">: Por fim, as empresas de consultoria e os peritos podem fornecer conhecimentos especializados e experiência em áreas tecnológicas específicas, bem como ajudar nas estratégias de </w:t>
      </w:r>
      <w:r w:rsidR="003F1F4B" w:rsidRPr="00FF7074">
        <w:rPr>
          <w:i/>
          <w:iCs/>
          <w:lang w:val="pt-PT"/>
        </w:rPr>
        <w:t>scouting</w:t>
      </w:r>
      <w:r w:rsidRPr="00FF7074">
        <w:rPr>
          <w:lang w:val="pt-PT"/>
        </w:rPr>
        <w:t xml:space="preserve"> e implementação de tecnologias.</w:t>
      </w:r>
    </w:p>
    <w:p w14:paraId="3ADA8407" w14:textId="77777777" w:rsidR="00AF6BFD" w:rsidRPr="00FF7074" w:rsidRDefault="00AF6BFD" w:rsidP="00F2178D">
      <w:pPr>
        <w:ind w:firstLine="0"/>
        <w:rPr>
          <w:sz w:val="10"/>
          <w:szCs w:val="10"/>
          <w:lang w:val="pt-PT"/>
        </w:rPr>
      </w:pPr>
    </w:p>
    <w:p w14:paraId="66D5DE8A" w14:textId="53A05A4F" w:rsidR="00473A83" w:rsidRPr="00FF7074" w:rsidRDefault="00473A83" w:rsidP="00EF41CC">
      <w:pPr>
        <w:ind w:firstLine="0"/>
        <w:rPr>
          <w:lang w:val="pt-PT"/>
        </w:rPr>
      </w:pPr>
      <w:r w:rsidRPr="00FF7074">
        <w:rPr>
          <w:lang w:val="pt-PT"/>
        </w:rPr>
        <w:t xml:space="preserve">Entre as ferramentas </w:t>
      </w:r>
      <w:r w:rsidR="002E030A" w:rsidRPr="00FF7074">
        <w:rPr>
          <w:i/>
          <w:lang w:val="pt-PT"/>
        </w:rPr>
        <w:t xml:space="preserve">de scouting </w:t>
      </w:r>
      <w:r w:rsidR="002E030A" w:rsidRPr="00FF7074">
        <w:rPr>
          <w:iCs/>
          <w:lang w:val="pt-PT"/>
        </w:rPr>
        <w:t>tecnológico</w:t>
      </w:r>
      <w:r w:rsidRPr="00FF7074">
        <w:rPr>
          <w:lang w:val="pt-PT"/>
        </w:rPr>
        <w:t xml:space="preserve">, merece especial destaque a solução </w:t>
      </w:r>
      <w:proofErr w:type="spellStart"/>
      <w:r w:rsidRPr="00261575">
        <w:rPr>
          <w:i/>
          <w:iCs/>
          <w:color w:val="3CC4A4"/>
          <w:lang w:val="pt-PT"/>
        </w:rPr>
        <w:t>Technology</w:t>
      </w:r>
      <w:proofErr w:type="spellEnd"/>
      <w:r w:rsidRPr="00261575">
        <w:rPr>
          <w:i/>
          <w:iCs/>
          <w:color w:val="3CC4A4"/>
          <w:lang w:val="pt-PT"/>
        </w:rPr>
        <w:t xml:space="preserve"> Radar</w:t>
      </w:r>
      <w:r w:rsidRPr="00FF7074">
        <w:rPr>
          <w:lang w:val="pt-PT"/>
        </w:rPr>
        <w:t xml:space="preserve">. Esta solução foi proposta pelos Laboratórios da </w:t>
      </w:r>
      <w:proofErr w:type="spellStart"/>
      <w:r w:rsidRPr="00FF7074">
        <w:rPr>
          <w:lang w:val="pt-PT"/>
        </w:rPr>
        <w:t>Deutsche</w:t>
      </w:r>
      <w:proofErr w:type="spellEnd"/>
      <w:r w:rsidRPr="00FF7074">
        <w:rPr>
          <w:lang w:val="pt-PT"/>
        </w:rPr>
        <w:t xml:space="preserve"> </w:t>
      </w:r>
      <w:proofErr w:type="spellStart"/>
      <w:r w:rsidRPr="00FF7074">
        <w:rPr>
          <w:lang w:val="pt-PT"/>
        </w:rPr>
        <w:t>Telekom</w:t>
      </w:r>
      <w:proofErr w:type="spellEnd"/>
      <w:r w:rsidRPr="00FF7074">
        <w:rPr>
          <w:lang w:val="pt-PT"/>
        </w:rPr>
        <w:t xml:space="preserve"> (</w:t>
      </w:r>
      <w:proofErr w:type="spellStart"/>
      <w:r w:rsidRPr="00FF7074">
        <w:rPr>
          <w:lang w:val="pt-PT"/>
        </w:rPr>
        <w:t>Rohrbeck</w:t>
      </w:r>
      <w:proofErr w:type="spellEnd"/>
      <w:r w:rsidRPr="00FF7074">
        <w:rPr>
          <w:lang w:val="pt-PT"/>
        </w:rPr>
        <w:t xml:space="preserve"> </w:t>
      </w:r>
      <w:proofErr w:type="spellStart"/>
      <w:r w:rsidRPr="00FF7074">
        <w:rPr>
          <w:lang w:val="pt-PT"/>
        </w:rPr>
        <w:t>et</w:t>
      </w:r>
      <w:proofErr w:type="spellEnd"/>
      <w:r w:rsidRPr="00FF7074">
        <w:rPr>
          <w:lang w:val="pt-PT"/>
        </w:rPr>
        <w:t xml:space="preserve"> al., 2006) e trouxe grandes contributos para a gestão da inovação e da tecnologia. O </w:t>
      </w:r>
      <w:proofErr w:type="spellStart"/>
      <w:r w:rsidRPr="00FF7074">
        <w:rPr>
          <w:lang w:val="pt-PT"/>
        </w:rPr>
        <w:t>Technology</w:t>
      </w:r>
      <w:proofErr w:type="spellEnd"/>
      <w:r w:rsidRPr="00FF7074">
        <w:rPr>
          <w:lang w:val="pt-PT"/>
        </w:rPr>
        <w:t xml:space="preserve"> Radar é essencialmente uma ferramenta visual utilizada para o </w:t>
      </w:r>
      <w:r w:rsidR="003F1F4B" w:rsidRPr="00FF7074">
        <w:rPr>
          <w:i/>
          <w:lang w:val="pt-PT"/>
        </w:rPr>
        <w:t xml:space="preserve">scouting </w:t>
      </w:r>
      <w:r w:rsidR="003F1F4B" w:rsidRPr="00FF7074">
        <w:rPr>
          <w:iCs/>
          <w:lang w:val="pt-PT"/>
        </w:rPr>
        <w:t>tecnológico</w:t>
      </w:r>
      <w:r w:rsidRPr="00FF7074">
        <w:rPr>
          <w:lang w:val="pt-PT"/>
        </w:rPr>
        <w:t>, que foi desenvolvida e aplicada na indústria</w:t>
      </w:r>
      <w:r w:rsidR="008F5546" w:rsidRPr="00FF7074">
        <w:rPr>
          <w:lang w:val="pt-PT"/>
        </w:rPr>
        <w:t xml:space="preserve"> </w:t>
      </w:r>
      <w:r w:rsidRPr="00FF7074">
        <w:rPr>
          <w:lang w:val="pt-PT"/>
        </w:rPr>
        <w:t xml:space="preserve">pela </w:t>
      </w:r>
      <w:proofErr w:type="spellStart"/>
      <w:r w:rsidRPr="00FF7074">
        <w:rPr>
          <w:lang w:val="pt-PT"/>
        </w:rPr>
        <w:t>ThoughtWorks</w:t>
      </w:r>
      <w:proofErr w:type="spellEnd"/>
      <w:r w:rsidRPr="00FF7074">
        <w:rPr>
          <w:lang w:val="pt-PT"/>
        </w:rPr>
        <w:t xml:space="preserve">, uma empresa global de consultoria de software, </w:t>
      </w:r>
      <w:r w:rsidR="008F5546" w:rsidRPr="00FF7074">
        <w:rPr>
          <w:lang w:val="pt-PT"/>
        </w:rPr>
        <w:t>baseando</w:t>
      </w:r>
      <w:r w:rsidRPr="00FF7074">
        <w:rPr>
          <w:lang w:val="pt-PT"/>
        </w:rPr>
        <w:t xml:space="preserve">-se na ideia de um gráfico de radar que visualiza a distância de várias tecnologias desde o centro (as mais promissoras e amplamente </w:t>
      </w:r>
      <w:r w:rsidR="003F1F4B" w:rsidRPr="00FF7074">
        <w:rPr>
          <w:lang w:val="pt-PT"/>
        </w:rPr>
        <w:t>adotadas</w:t>
      </w:r>
      <w:r w:rsidRPr="00FF7074">
        <w:rPr>
          <w:lang w:val="pt-PT"/>
        </w:rPr>
        <w:t xml:space="preserve">) até às extremidades (as menos maduras e menos </w:t>
      </w:r>
      <w:r w:rsidR="003F1F4B" w:rsidRPr="00FF7074">
        <w:rPr>
          <w:lang w:val="pt-PT"/>
        </w:rPr>
        <w:t>adotadas</w:t>
      </w:r>
      <w:r w:rsidRPr="00FF7074">
        <w:rPr>
          <w:lang w:val="pt-PT"/>
        </w:rPr>
        <w:t>).</w:t>
      </w:r>
    </w:p>
    <w:p w14:paraId="35C7352A" w14:textId="1970C5F1" w:rsidR="00473A83" w:rsidRPr="00FF7074" w:rsidRDefault="00473A83" w:rsidP="00EF41CC">
      <w:pPr>
        <w:ind w:firstLine="0"/>
        <w:rPr>
          <w:lang w:val="pt-PT"/>
        </w:rPr>
      </w:pPr>
      <w:r w:rsidRPr="00FF7074">
        <w:rPr>
          <w:lang w:val="pt-PT"/>
        </w:rPr>
        <w:t xml:space="preserve">O </w:t>
      </w:r>
      <w:proofErr w:type="spellStart"/>
      <w:r w:rsidRPr="00FF7074">
        <w:rPr>
          <w:i/>
          <w:iCs/>
          <w:lang w:val="pt-PT"/>
        </w:rPr>
        <w:t>Technology</w:t>
      </w:r>
      <w:proofErr w:type="spellEnd"/>
      <w:r w:rsidRPr="00FF7074">
        <w:rPr>
          <w:i/>
          <w:iCs/>
          <w:lang w:val="pt-PT"/>
        </w:rPr>
        <w:t xml:space="preserve"> Radar</w:t>
      </w:r>
      <w:r w:rsidRPr="00FF7074">
        <w:rPr>
          <w:lang w:val="pt-PT"/>
        </w:rPr>
        <w:t xml:space="preserve"> </w:t>
      </w:r>
      <w:r w:rsidR="00C06BBA" w:rsidRPr="00FF7074">
        <w:rPr>
          <w:lang w:val="pt-PT"/>
        </w:rPr>
        <w:t>encontra-se</w:t>
      </w:r>
      <w:r w:rsidRPr="00FF7074">
        <w:rPr>
          <w:lang w:val="pt-PT"/>
        </w:rPr>
        <w:t xml:space="preserve"> originalmente dividido em quatro quadrantes, centrados no sector do software:</w:t>
      </w:r>
    </w:p>
    <w:p w14:paraId="364F6EB7" w14:textId="7B0783AE" w:rsidR="00473A83" w:rsidRPr="00FF7074" w:rsidRDefault="00626753" w:rsidP="00BB43B5">
      <w:pPr>
        <w:pStyle w:val="PargrafodaLista"/>
        <w:numPr>
          <w:ilvl w:val="0"/>
          <w:numId w:val="21"/>
        </w:numPr>
        <w:spacing w:before="0"/>
        <w:ind w:left="714" w:hanging="357"/>
        <w:rPr>
          <w:lang w:val="pt-PT"/>
        </w:rPr>
      </w:pPr>
      <w:proofErr w:type="spellStart"/>
      <w:r w:rsidRPr="00FF7074">
        <w:rPr>
          <w:b/>
          <w:bCs/>
          <w:i/>
          <w:iCs/>
          <w:lang w:val="pt-PT"/>
        </w:rPr>
        <w:t>Techniques</w:t>
      </w:r>
      <w:proofErr w:type="spellEnd"/>
      <w:r w:rsidR="00473A83" w:rsidRPr="00FF7074">
        <w:rPr>
          <w:lang w:val="pt-PT"/>
        </w:rPr>
        <w:t>: Este quadrante inclui metodologias, práticas e processos que podem ajudar as organizações a melhorar os seus processos de desenvolvimento de software e capacidades de entrega.</w:t>
      </w:r>
    </w:p>
    <w:p w14:paraId="20572FE2" w14:textId="11E54356" w:rsidR="00473A83" w:rsidRPr="00FF7074" w:rsidRDefault="00A71E7E" w:rsidP="00BB43B5">
      <w:pPr>
        <w:pStyle w:val="PargrafodaLista"/>
        <w:numPr>
          <w:ilvl w:val="0"/>
          <w:numId w:val="21"/>
        </w:numPr>
        <w:spacing w:before="0"/>
        <w:ind w:left="714" w:hanging="357"/>
        <w:rPr>
          <w:lang w:val="pt-PT"/>
        </w:rPr>
      </w:pPr>
      <w:proofErr w:type="spellStart"/>
      <w:r w:rsidRPr="00FF7074">
        <w:rPr>
          <w:b/>
          <w:bCs/>
          <w:i/>
          <w:iCs/>
          <w:lang w:val="pt-PT"/>
        </w:rPr>
        <w:lastRenderedPageBreak/>
        <w:t>Tool</w:t>
      </w:r>
      <w:r w:rsidRPr="00FF7074">
        <w:rPr>
          <w:i/>
          <w:iCs/>
          <w:lang w:val="pt-PT"/>
        </w:rPr>
        <w:t>s</w:t>
      </w:r>
      <w:proofErr w:type="spellEnd"/>
      <w:r w:rsidR="00473A83" w:rsidRPr="00FF7074">
        <w:rPr>
          <w:lang w:val="pt-PT"/>
        </w:rPr>
        <w:t>: Este quadrante inclui ferramentas e estruturas de software que podem ajudar as organizações a criar software melhor, automatizar processos e melhorar a colaboração.</w:t>
      </w:r>
    </w:p>
    <w:p w14:paraId="4BD4BCEE" w14:textId="738E9866" w:rsidR="00473A83" w:rsidRPr="00FF7074" w:rsidRDefault="00473A83" w:rsidP="00BB43B5">
      <w:pPr>
        <w:pStyle w:val="PargrafodaLista"/>
        <w:numPr>
          <w:ilvl w:val="0"/>
          <w:numId w:val="21"/>
        </w:numPr>
        <w:spacing w:before="0"/>
        <w:ind w:left="714" w:hanging="357"/>
        <w:rPr>
          <w:lang w:val="pt-PT"/>
        </w:rPr>
      </w:pPr>
      <w:proofErr w:type="spellStart"/>
      <w:r w:rsidRPr="00FF7074">
        <w:rPr>
          <w:b/>
          <w:bCs/>
          <w:i/>
          <w:iCs/>
          <w:lang w:val="pt-PT"/>
        </w:rPr>
        <w:t>Plataforms</w:t>
      </w:r>
      <w:proofErr w:type="spellEnd"/>
      <w:r w:rsidRPr="00FF7074">
        <w:rPr>
          <w:lang w:val="pt-PT"/>
        </w:rPr>
        <w:t xml:space="preserve">: Este quadrante inclui plataformas e tecnologias que fornecem </w:t>
      </w:r>
      <w:r w:rsidR="00C06BBA" w:rsidRPr="00FF7074">
        <w:rPr>
          <w:lang w:val="pt-PT"/>
        </w:rPr>
        <w:t>infraestruturas</w:t>
      </w:r>
      <w:r w:rsidRPr="00FF7074">
        <w:rPr>
          <w:lang w:val="pt-PT"/>
        </w:rPr>
        <w:t xml:space="preserve"> para a criação e implementação de software, como a computação em nuvem, contentores e computação sem servidor.</w:t>
      </w:r>
    </w:p>
    <w:p w14:paraId="3B60C968" w14:textId="0F230F0F" w:rsidR="00473A83" w:rsidRPr="00FF7074" w:rsidRDefault="00DC735A" w:rsidP="00BB43B5">
      <w:pPr>
        <w:pStyle w:val="PargrafodaLista"/>
        <w:numPr>
          <w:ilvl w:val="0"/>
          <w:numId w:val="21"/>
        </w:numPr>
        <w:spacing w:before="0"/>
        <w:ind w:left="714" w:hanging="357"/>
        <w:rPr>
          <w:lang w:val="pt-PT"/>
        </w:rPr>
      </w:pPr>
      <w:proofErr w:type="spellStart"/>
      <w:r w:rsidRPr="00FF7074">
        <w:rPr>
          <w:b/>
          <w:bCs/>
          <w:i/>
          <w:iCs/>
          <w:lang w:val="pt-PT"/>
        </w:rPr>
        <w:t>Languages</w:t>
      </w:r>
      <w:proofErr w:type="spellEnd"/>
      <w:r w:rsidRPr="00FF7074">
        <w:rPr>
          <w:b/>
          <w:bCs/>
          <w:i/>
          <w:iCs/>
          <w:lang w:val="pt-PT"/>
        </w:rPr>
        <w:t xml:space="preserve"> </w:t>
      </w:r>
      <w:proofErr w:type="spellStart"/>
      <w:r w:rsidRPr="00FF7074">
        <w:rPr>
          <w:b/>
          <w:bCs/>
          <w:i/>
          <w:iCs/>
          <w:lang w:val="pt-PT"/>
        </w:rPr>
        <w:t>and</w:t>
      </w:r>
      <w:proofErr w:type="spellEnd"/>
      <w:r w:rsidRPr="00FF7074">
        <w:rPr>
          <w:b/>
          <w:bCs/>
          <w:i/>
          <w:iCs/>
          <w:lang w:val="pt-PT"/>
        </w:rPr>
        <w:t xml:space="preserve"> </w:t>
      </w:r>
      <w:proofErr w:type="spellStart"/>
      <w:r w:rsidRPr="00FF7074">
        <w:rPr>
          <w:b/>
          <w:bCs/>
          <w:i/>
          <w:iCs/>
          <w:lang w:val="pt-PT"/>
        </w:rPr>
        <w:t>Frameworks</w:t>
      </w:r>
      <w:proofErr w:type="spellEnd"/>
      <w:r w:rsidR="00473A83" w:rsidRPr="00FF7074">
        <w:rPr>
          <w:lang w:val="pt-PT"/>
        </w:rPr>
        <w:t>: Este quadrante inclui as linguagens de programação e as estruturas de desenvolvimento de software que podem ser utilizadas para criar aplicações de software.</w:t>
      </w:r>
    </w:p>
    <w:p w14:paraId="0B1B778C" w14:textId="77777777" w:rsidR="00473A83" w:rsidRPr="00FF7074" w:rsidRDefault="00473A83" w:rsidP="00466CDB">
      <w:pPr>
        <w:spacing w:line="240" w:lineRule="auto"/>
        <w:jc w:val="center"/>
        <w:rPr>
          <w:lang w:val="pt-PT"/>
        </w:rPr>
      </w:pPr>
      <w:r w:rsidRPr="00FF7074">
        <w:rPr>
          <w:noProof/>
          <w:lang w:val="pt-PT"/>
        </w:rPr>
        <w:drawing>
          <wp:inline distT="0" distB="0" distL="0" distR="0" wp14:anchorId="5BBA658E" wp14:editId="599E5B4B">
            <wp:extent cx="3105785" cy="3105785"/>
            <wp:effectExtent l="0" t="0" r="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14578" cy="3114578"/>
                    </a:xfrm>
                    <a:prstGeom prst="rect">
                      <a:avLst/>
                    </a:prstGeom>
                    <a:noFill/>
                  </pic:spPr>
                </pic:pic>
              </a:graphicData>
            </a:graphic>
          </wp:inline>
        </w:drawing>
      </w:r>
    </w:p>
    <w:p w14:paraId="37C5E464" w14:textId="2BF6FD2D" w:rsidR="00473A83" w:rsidRPr="00BB49FE" w:rsidRDefault="00466CDB" w:rsidP="00DB2268">
      <w:pPr>
        <w:spacing w:after="0" w:line="276" w:lineRule="auto"/>
        <w:ind w:firstLine="0"/>
        <w:jc w:val="center"/>
        <w:rPr>
          <w:i/>
          <w:iCs/>
          <w:color w:val="4B4F54" w:themeColor="text1"/>
          <w:sz w:val="18"/>
          <w:szCs w:val="18"/>
          <w:lang w:val="en-GB"/>
        </w:rPr>
      </w:pPr>
      <w:proofErr w:type="spellStart"/>
      <w:r w:rsidRPr="00BB49FE">
        <w:rPr>
          <w:rFonts w:eastAsia="Verdana"/>
          <w:i/>
          <w:iCs/>
          <w:color w:val="4B4F54" w:themeColor="text1"/>
          <w:sz w:val="18"/>
          <w:szCs w:val="18"/>
          <w:lang w:val="en-GB" w:eastAsia="en-US"/>
        </w:rPr>
        <w:t>Figura</w:t>
      </w:r>
      <w:proofErr w:type="spellEnd"/>
      <w:r w:rsidRPr="00BB49FE">
        <w:rPr>
          <w:rFonts w:eastAsia="Verdana"/>
          <w:i/>
          <w:iCs/>
          <w:color w:val="4B4F54" w:themeColor="text1"/>
          <w:sz w:val="18"/>
          <w:szCs w:val="18"/>
          <w:lang w:val="en-GB" w:eastAsia="en-US"/>
        </w:rPr>
        <w:t xml:space="preserve"> </w:t>
      </w:r>
      <w:r w:rsidRPr="00FF7074">
        <w:rPr>
          <w:rFonts w:eastAsia="Verdana"/>
          <w:i/>
          <w:iCs/>
          <w:color w:val="4B4F54" w:themeColor="text1"/>
          <w:sz w:val="18"/>
          <w:szCs w:val="18"/>
          <w:lang w:val="pt-PT" w:eastAsia="en-US"/>
        </w:rPr>
        <w:fldChar w:fldCharType="begin"/>
      </w:r>
      <w:r w:rsidRPr="00BB49FE">
        <w:rPr>
          <w:rFonts w:eastAsia="Verdana"/>
          <w:i/>
          <w:iCs/>
          <w:color w:val="4B4F54" w:themeColor="text1"/>
          <w:sz w:val="18"/>
          <w:szCs w:val="18"/>
          <w:lang w:val="en-GB" w:eastAsia="en-US"/>
        </w:rPr>
        <w:instrText xml:space="preserve"> SEQ Figura \* ARABIC </w:instrText>
      </w:r>
      <w:r w:rsidRPr="00FF7074">
        <w:rPr>
          <w:rFonts w:eastAsia="Verdana"/>
          <w:i/>
          <w:iCs/>
          <w:color w:val="4B4F54" w:themeColor="text1"/>
          <w:sz w:val="18"/>
          <w:szCs w:val="18"/>
          <w:lang w:val="pt-PT" w:eastAsia="en-US"/>
        </w:rPr>
        <w:fldChar w:fldCharType="separate"/>
      </w:r>
      <w:r w:rsidR="008617AF">
        <w:rPr>
          <w:rFonts w:eastAsia="Verdana"/>
          <w:i/>
          <w:iCs/>
          <w:noProof/>
          <w:color w:val="4B4F54" w:themeColor="text1"/>
          <w:sz w:val="18"/>
          <w:szCs w:val="18"/>
          <w:lang w:val="en-GB" w:eastAsia="en-US"/>
        </w:rPr>
        <w:t>11</w:t>
      </w:r>
      <w:r w:rsidRPr="00FF7074">
        <w:rPr>
          <w:rFonts w:eastAsia="Verdana"/>
          <w:i/>
          <w:iCs/>
          <w:color w:val="4B4F54" w:themeColor="text1"/>
          <w:sz w:val="18"/>
          <w:szCs w:val="18"/>
          <w:lang w:val="pt-PT" w:eastAsia="en-US"/>
        </w:rPr>
        <w:fldChar w:fldCharType="end"/>
      </w:r>
      <w:r w:rsidR="00473A83" w:rsidRPr="00BB49FE">
        <w:rPr>
          <w:i/>
          <w:iCs/>
          <w:color w:val="4B4F54" w:themeColor="text1"/>
          <w:sz w:val="18"/>
          <w:szCs w:val="18"/>
          <w:lang w:val="en-GB"/>
        </w:rPr>
        <w:t xml:space="preserve">: </w:t>
      </w:r>
      <w:r w:rsidRPr="00BB49FE">
        <w:rPr>
          <w:i/>
          <w:iCs/>
          <w:color w:val="4B4F54" w:themeColor="text1"/>
          <w:sz w:val="18"/>
          <w:szCs w:val="18"/>
          <w:lang w:val="en-GB"/>
        </w:rPr>
        <w:t>Technology Radar.</w:t>
      </w:r>
    </w:p>
    <w:p w14:paraId="3DD7A273" w14:textId="2A05A93A" w:rsidR="00473A83" w:rsidRPr="00BB49FE" w:rsidRDefault="00473A83" w:rsidP="00DB2268">
      <w:pPr>
        <w:spacing w:after="0" w:line="276" w:lineRule="auto"/>
        <w:ind w:firstLine="0"/>
        <w:jc w:val="center"/>
        <w:rPr>
          <w:i/>
          <w:iCs/>
          <w:color w:val="4B4F54" w:themeColor="text1"/>
          <w:sz w:val="16"/>
          <w:szCs w:val="16"/>
          <w:lang w:val="en-GB"/>
        </w:rPr>
      </w:pPr>
      <w:r w:rsidRPr="00BB49FE">
        <w:rPr>
          <w:i/>
          <w:iCs/>
          <w:color w:val="4B4F54" w:themeColor="text1"/>
          <w:sz w:val="16"/>
          <w:szCs w:val="16"/>
          <w:lang w:val="en-GB"/>
        </w:rPr>
        <w:t xml:space="preserve">Fonte: </w:t>
      </w:r>
      <w:proofErr w:type="spellStart"/>
      <w:r w:rsidRPr="00BB49FE">
        <w:rPr>
          <w:i/>
          <w:iCs/>
          <w:color w:val="4B4F54" w:themeColor="text1"/>
          <w:sz w:val="16"/>
          <w:szCs w:val="16"/>
          <w:lang w:val="en-GB"/>
        </w:rPr>
        <w:t>ThoughtWorks</w:t>
      </w:r>
      <w:proofErr w:type="spellEnd"/>
      <w:r w:rsidR="00466CDB" w:rsidRPr="00BB49FE">
        <w:rPr>
          <w:i/>
          <w:iCs/>
          <w:color w:val="4B4F54" w:themeColor="text1"/>
          <w:sz w:val="16"/>
          <w:szCs w:val="16"/>
          <w:lang w:val="en-GB"/>
        </w:rPr>
        <w:t>.</w:t>
      </w:r>
    </w:p>
    <w:p w14:paraId="147FF29E" w14:textId="77777777" w:rsidR="00473A83" w:rsidRPr="00BB49FE" w:rsidRDefault="00473A83" w:rsidP="00473A83">
      <w:pPr>
        <w:rPr>
          <w:sz w:val="10"/>
          <w:szCs w:val="10"/>
          <w:lang w:val="en-GB"/>
        </w:rPr>
      </w:pPr>
    </w:p>
    <w:p w14:paraId="25716F85" w14:textId="6EB5D7E5" w:rsidR="00466CDB" w:rsidRPr="00FF7074" w:rsidRDefault="00473A83" w:rsidP="00904062">
      <w:pPr>
        <w:ind w:firstLine="0"/>
        <w:rPr>
          <w:lang w:val="pt-PT"/>
        </w:rPr>
      </w:pPr>
      <w:r w:rsidRPr="00FF7074">
        <w:rPr>
          <w:lang w:val="pt-PT"/>
        </w:rPr>
        <w:t xml:space="preserve">Estes quadrantes podem ser modificados e adaptados a diferentes sectores. Depois, as várias tecnologias são categorizadas pelo seu nível de </w:t>
      </w:r>
      <w:r w:rsidR="00DC735A" w:rsidRPr="00FF7074">
        <w:rPr>
          <w:lang w:val="pt-PT"/>
        </w:rPr>
        <w:t>adoção</w:t>
      </w:r>
      <w:r w:rsidRPr="00FF7074">
        <w:rPr>
          <w:lang w:val="pt-PT"/>
        </w:rPr>
        <w:t xml:space="preserve"> e relevância para a organização. Nesse sentido, algumas categorias comuns que são frequentemente incluídas num radar tecnológico incluem:</w:t>
      </w:r>
    </w:p>
    <w:p w14:paraId="7A11E18D" w14:textId="36122A68" w:rsidR="00473A83" w:rsidRPr="00FF7074" w:rsidRDefault="00473A83" w:rsidP="00BB43B5">
      <w:pPr>
        <w:pStyle w:val="PargrafodaLista"/>
        <w:numPr>
          <w:ilvl w:val="0"/>
          <w:numId w:val="22"/>
        </w:numPr>
        <w:spacing w:before="0"/>
        <w:ind w:left="714" w:hanging="357"/>
        <w:rPr>
          <w:lang w:val="pt-PT"/>
        </w:rPr>
      </w:pPr>
      <w:proofErr w:type="spellStart"/>
      <w:r w:rsidRPr="00FF7074">
        <w:rPr>
          <w:i/>
          <w:iCs/>
          <w:lang w:val="pt-PT"/>
        </w:rPr>
        <w:t>Adopt</w:t>
      </w:r>
      <w:proofErr w:type="spellEnd"/>
      <w:r w:rsidRPr="00FF7074">
        <w:rPr>
          <w:lang w:val="pt-PT"/>
        </w:rPr>
        <w:t xml:space="preserve">: Tecnologias que já estão a ser utilizadas e que provaram ser </w:t>
      </w:r>
      <w:proofErr w:type="gramStart"/>
      <w:r w:rsidRPr="00FF7074">
        <w:rPr>
          <w:lang w:val="pt-PT"/>
        </w:rPr>
        <w:t>bem sucedidas</w:t>
      </w:r>
      <w:proofErr w:type="gramEnd"/>
      <w:r w:rsidRPr="00FF7074">
        <w:rPr>
          <w:lang w:val="pt-PT"/>
        </w:rPr>
        <w:t>.</w:t>
      </w:r>
    </w:p>
    <w:p w14:paraId="1B06E1CD" w14:textId="3CACE2F9" w:rsidR="00473A83" w:rsidRPr="00FF7074" w:rsidRDefault="00473A83" w:rsidP="00BB43B5">
      <w:pPr>
        <w:pStyle w:val="PargrafodaLista"/>
        <w:numPr>
          <w:ilvl w:val="0"/>
          <w:numId w:val="22"/>
        </w:numPr>
        <w:spacing w:before="0"/>
        <w:ind w:left="714" w:hanging="357"/>
        <w:rPr>
          <w:lang w:val="pt-PT"/>
        </w:rPr>
      </w:pPr>
      <w:r w:rsidRPr="00FF7074">
        <w:rPr>
          <w:i/>
          <w:iCs/>
          <w:lang w:val="pt-PT"/>
        </w:rPr>
        <w:t>T</w:t>
      </w:r>
      <w:r w:rsidR="00DC735A" w:rsidRPr="00FF7074">
        <w:rPr>
          <w:i/>
          <w:iCs/>
          <w:lang w:val="pt-PT"/>
        </w:rPr>
        <w:t>rial</w:t>
      </w:r>
      <w:r w:rsidRPr="00FF7074">
        <w:rPr>
          <w:lang w:val="pt-PT"/>
        </w:rPr>
        <w:t>: Tecnologias que estão a ser testadas ou pilotadas para avaliar o seu potencial impacto.</w:t>
      </w:r>
    </w:p>
    <w:p w14:paraId="72112772" w14:textId="69A5B935" w:rsidR="00473A83" w:rsidRPr="00FF7074" w:rsidRDefault="00473A83" w:rsidP="00BB43B5">
      <w:pPr>
        <w:pStyle w:val="PargrafodaLista"/>
        <w:numPr>
          <w:ilvl w:val="0"/>
          <w:numId w:val="22"/>
        </w:numPr>
        <w:spacing w:before="0"/>
        <w:ind w:left="714" w:hanging="357"/>
        <w:rPr>
          <w:lang w:val="pt-PT"/>
        </w:rPr>
      </w:pPr>
      <w:proofErr w:type="spellStart"/>
      <w:r w:rsidRPr="00FF7074">
        <w:rPr>
          <w:i/>
          <w:iCs/>
          <w:lang w:val="pt-PT"/>
        </w:rPr>
        <w:t>A</w:t>
      </w:r>
      <w:r w:rsidR="00DC735A" w:rsidRPr="00FF7074">
        <w:rPr>
          <w:i/>
          <w:iCs/>
          <w:lang w:val="pt-PT"/>
        </w:rPr>
        <w:t>ssess</w:t>
      </w:r>
      <w:proofErr w:type="spellEnd"/>
      <w:r w:rsidRPr="00FF7074">
        <w:rPr>
          <w:lang w:val="pt-PT"/>
        </w:rPr>
        <w:t>: Tecnologias que estão a ser investigadas e avaliadas para potencial utilização futura.</w:t>
      </w:r>
    </w:p>
    <w:p w14:paraId="1723468A" w14:textId="67C0D796" w:rsidR="00473A83" w:rsidRPr="00FF7074" w:rsidRDefault="00DC735A" w:rsidP="00BB43B5">
      <w:pPr>
        <w:pStyle w:val="PargrafodaLista"/>
        <w:numPr>
          <w:ilvl w:val="0"/>
          <w:numId w:val="22"/>
        </w:numPr>
        <w:spacing w:before="0"/>
        <w:ind w:left="714" w:hanging="357"/>
        <w:rPr>
          <w:lang w:val="pt-PT"/>
        </w:rPr>
      </w:pPr>
      <w:proofErr w:type="spellStart"/>
      <w:r w:rsidRPr="00FF7074">
        <w:rPr>
          <w:i/>
          <w:iCs/>
          <w:lang w:val="pt-PT"/>
        </w:rPr>
        <w:lastRenderedPageBreak/>
        <w:t>Hold</w:t>
      </w:r>
      <w:proofErr w:type="spellEnd"/>
      <w:r w:rsidR="00473A83" w:rsidRPr="00FF7074">
        <w:rPr>
          <w:lang w:val="pt-PT"/>
        </w:rPr>
        <w:t>: Tecnologias que já não são relevantes ou úteis para a organização e que devem ser eliminadas gradualmente.</w:t>
      </w:r>
    </w:p>
    <w:p w14:paraId="757C2B2D" w14:textId="77777777" w:rsidR="00DC735A" w:rsidRPr="00FF7074" w:rsidRDefault="00DC735A" w:rsidP="00904062">
      <w:pPr>
        <w:suppressAutoHyphens/>
        <w:ind w:firstLine="0"/>
        <w:rPr>
          <w:sz w:val="10"/>
          <w:szCs w:val="10"/>
          <w:lang w:val="pt-PT"/>
        </w:rPr>
      </w:pPr>
    </w:p>
    <w:p w14:paraId="4FD46D52" w14:textId="1EEBDD30" w:rsidR="001F663E" w:rsidRPr="00FF7074" w:rsidRDefault="00473A83" w:rsidP="00904062">
      <w:pPr>
        <w:suppressAutoHyphens/>
        <w:ind w:firstLine="0"/>
        <w:rPr>
          <w:lang w:val="pt-PT"/>
        </w:rPr>
      </w:pPr>
      <w:r w:rsidRPr="00FF7074">
        <w:rPr>
          <w:lang w:val="pt-PT"/>
        </w:rPr>
        <w:t xml:space="preserve">O </w:t>
      </w:r>
      <w:proofErr w:type="spellStart"/>
      <w:r w:rsidR="00DC735A" w:rsidRPr="00FF7074">
        <w:rPr>
          <w:i/>
          <w:iCs/>
          <w:lang w:val="pt-PT"/>
        </w:rPr>
        <w:t>Technology</w:t>
      </w:r>
      <w:proofErr w:type="spellEnd"/>
      <w:r w:rsidR="00DC735A" w:rsidRPr="00FF7074">
        <w:rPr>
          <w:i/>
          <w:iCs/>
          <w:lang w:val="pt-PT"/>
        </w:rPr>
        <w:t xml:space="preserve"> Radar</w:t>
      </w:r>
      <w:r w:rsidR="00DC735A" w:rsidRPr="00FF7074">
        <w:rPr>
          <w:lang w:val="pt-PT"/>
        </w:rPr>
        <w:t xml:space="preserve"> </w:t>
      </w:r>
      <w:r w:rsidRPr="00FF7074">
        <w:rPr>
          <w:lang w:val="pt-PT"/>
        </w:rPr>
        <w:t xml:space="preserve">é frequentemente </w:t>
      </w:r>
      <w:r w:rsidR="00DC735A" w:rsidRPr="00FF7074">
        <w:rPr>
          <w:lang w:val="pt-PT"/>
        </w:rPr>
        <w:t>atualizado</w:t>
      </w:r>
      <w:r w:rsidRPr="00FF7074">
        <w:rPr>
          <w:lang w:val="pt-PT"/>
        </w:rPr>
        <w:t xml:space="preserve"> de forma regular, com novas tecnologias a serem adicionadas ou removidas com base em alterações na sua </w:t>
      </w:r>
      <w:r w:rsidR="00DC735A" w:rsidRPr="00FF7074">
        <w:rPr>
          <w:lang w:val="pt-PT"/>
        </w:rPr>
        <w:t>adoção</w:t>
      </w:r>
      <w:r w:rsidRPr="00FF7074">
        <w:rPr>
          <w:lang w:val="pt-PT"/>
        </w:rPr>
        <w:t xml:space="preserve"> ou relevância para os </w:t>
      </w:r>
      <w:r w:rsidR="00DC735A" w:rsidRPr="00FF7074">
        <w:rPr>
          <w:lang w:val="pt-PT"/>
        </w:rPr>
        <w:t>objetivos</w:t>
      </w:r>
      <w:r w:rsidRPr="00FF7074">
        <w:rPr>
          <w:lang w:val="pt-PT"/>
        </w:rPr>
        <w:t xml:space="preserve"> estratégicos da organização. Isto ajuda as organizações a manterem-se </w:t>
      </w:r>
      <w:r w:rsidR="00DC735A" w:rsidRPr="00FF7074">
        <w:rPr>
          <w:lang w:val="pt-PT"/>
        </w:rPr>
        <w:t>atualizadas</w:t>
      </w:r>
      <w:r w:rsidRPr="00FF7074">
        <w:rPr>
          <w:lang w:val="pt-PT"/>
        </w:rPr>
        <w:t xml:space="preserve"> com as últimas tendências e inovações em tecnologia e a tomarem decisões informadas sobre quais as tecnologias em que devem investir ou explorar mais. Em geral, um radar tecnológico pode ser uma ferramenta valiosa para as organizações que procuram manter-se competitivas e inovadoras no </w:t>
      </w:r>
      <w:r w:rsidR="00DC735A" w:rsidRPr="00FF7074">
        <w:rPr>
          <w:lang w:val="pt-PT"/>
        </w:rPr>
        <w:t>atual</w:t>
      </w:r>
      <w:r w:rsidRPr="00FF7074">
        <w:rPr>
          <w:lang w:val="pt-PT"/>
        </w:rPr>
        <w:t xml:space="preserve"> panorama tecnológico em rápida mudança.</w:t>
      </w:r>
    </w:p>
    <w:p w14:paraId="19B4771F" w14:textId="14F2F0BE" w:rsidR="002C3887" w:rsidRPr="00FF7074" w:rsidRDefault="68F37765" w:rsidP="00261575">
      <w:pPr>
        <w:pStyle w:val="Ttulo3"/>
      </w:pPr>
      <w:r w:rsidRPr="00FF7074">
        <w:t xml:space="preserve"> </w:t>
      </w:r>
      <w:bookmarkStart w:id="53" w:name="_Toc138420947"/>
      <w:r w:rsidR="00145515" w:rsidRPr="00FF7074">
        <w:t>Ferramentas de divulgação interna</w:t>
      </w:r>
      <w:bookmarkEnd w:id="53"/>
    </w:p>
    <w:p w14:paraId="60643468" w14:textId="77777777" w:rsidR="00E04DD1" w:rsidRPr="00FF7074" w:rsidRDefault="00E04DD1" w:rsidP="007C67C1">
      <w:pPr>
        <w:ind w:firstLine="0"/>
        <w:rPr>
          <w:b/>
          <w:bCs/>
          <w:sz w:val="4"/>
          <w:szCs w:val="4"/>
          <w:lang w:val="pt-PT"/>
        </w:rPr>
      </w:pPr>
    </w:p>
    <w:p w14:paraId="7927226E" w14:textId="5199A347" w:rsidR="00DA0091" w:rsidRPr="00FF7074" w:rsidRDefault="00DA0091" w:rsidP="00DA0091">
      <w:pPr>
        <w:ind w:firstLine="0"/>
        <w:rPr>
          <w:lang w:val="pt-PT"/>
        </w:rPr>
      </w:pPr>
      <w:r w:rsidRPr="00FF7074">
        <w:rPr>
          <w:lang w:val="pt-PT"/>
        </w:rPr>
        <w:t xml:space="preserve">A comunicação entre as equipas de investigação e os gabinetes de transferência de tecnologia é muito relevante para promover a transferência </w:t>
      </w:r>
      <w:r w:rsidR="00E462E6" w:rsidRPr="00FF7074">
        <w:rPr>
          <w:lang w:val="pt-PT"/>
        </w:rPr>
        <w:t>efetiva</w:t>
      </w:r>
      <w:r w:rsidRPr="00FF7074">
        <w:rPr>
          <w:lang w:val="pt-PT"/>
        </w:rPr>
        <w:t xml:space="preserve"> de conhecimentos e tecnologias do meio académico para o sector empresarial. Os investigadores geram ideias inovadoras e descobrem tecnologias que podem ter um potencial comercial significativo. Ao manter uma comunicação fluida </w:t>
      </w:r>
      <w:r w:rsidR="00277FFE" w:rsidRPr="00FF7074">
        <w:rPr>
          <w:lang w:val="pt-PT"/>
        </w:rPr>
        <w:t>entre os interveniente</w:t>
      </w:r>
      <w:r w:rsidR="00D17986" w:rsidRPr="00FF7074">
        <w:rPr>
          <w:lang w:val="pt-PT"/>
        </w:rPr>
        <w:t>s</w:t>
      </w:r>
      <w:r w:rsidRPr="00FF7074">
        <w:rPr>
          <w:lang w:val="pt-PT"/>
        </w:rPr>
        <w:t xml:space="preserve">, a propriedade intelectual associada a estes avanços, como patentes, </w:t>
      </w:r>
      <w:r w:rsidR="00914FC5" w:rsidRPr="00FF7074">
        <w:rPr>
          <w:lang w:val="pt-PT"/>
        </w:rPr>
        <w:t>dese</w:t>
      </w:r>
      <w:r w:rsidR="00E42EA3" w:rsidRPr="00FF7074">
        <w:rPr>
          <w:lang w:val="pt-PT"/>
        </w:rPr>
        <w:t xml:space="preserve">nhos ou modelos, segredo comercial, </w:t>
      </w:r>
      <w:r w:rsidRPr="00FF7074">
        <w:rPr>
          <w:lang w:val="pt-PT"/>
        </w:rPr>
        <w:t>direitos de autor ou marcas registadas, pode ser</w:t>
      </w:r>
      <w:r w:rsidR="00557625" w:rsidRPr="00FF7074">
        <w:rPr>
          <w:lang w:val="pt-PT"/>
        </w:rPr>
        <w:t xml:space="preserve"> prontamente</w:t>
      </w:r>
      <w:r w:rsidRPr="00FF7074">
        <w:rPr>
          <w:lang w:val="pt-PT"/>
        </w:rPr>
        <w:t xml:space="preserve"> identificada e protegida</w:t>
      </w:r>
      <w:r w:rsidR="00E42EA3" w:rsidRPr="00FF7074">
        <w:rPr>
          <w:lang w:val="pt-PT"/>
        </w:rPr>
        <w:t xml:space="preserve"> adequadamente</w:t>
      </w:r>
      <w:r w:rsidRPr="00FF7074">
        <w:rPr>
          <w:lang w:val="pt-PT"/>
        </w:rPr>
        <w:t>.</w:t>
      </w:r>
    </w:p>
    <w:p w14:paraId="3791B498" w14:textId="6CE3D7F4" w:rsidR="00DA0091" w:rsidRPr="00FF7074" w:rsidRDefault="006F054C" w:rsidP="00DA0091">
      <w:pPr>
        <w:ind w:firstLine="0"/>
        <w:rPr>
          <w:lang w:val="pt-PT"/>
        </w:rPr>
      </w:pPr>
      <w:r w:rsidRPr="00FF7074">
        <w:rPr>
          <w:lang w:val="pt-PT"/>
        </w:rPr>
        <w:t>Existem diversos</w:t>
      </w:r>
      <w:r w:rsidR="00DA0091" w:rsidRPr="00FF7074">
        <w:rPr>
          <w:lang w:val="pt-PT"/>
        </w:rPr>
        <w:t xml:space="preserve"> mecanismos de comunicação entre as equipas de investigação e os gabinetes de transferência de tecnologia</w:t>
      </w:r>
      <w:r w:rsidR="00EF2937" w:rsidRPr="00FF7074">
        <w:rPr>
          <w:lang w:val="pt-PT"/>
        </w:rPr>
        <w:t>, e</w:t>
      </w:r>
      <w:r w:rsidR="00DA0091" w:rsidRPr="00FF7074">
        <w:rPr>
          <w:lang w:val="pt-PT"/>
        </w:rPr>
        <w:t xml:space="preserve">stes asseguram uma colaboração </w:t>
      </w:r>
      <w:r w:rsidR="00E462E6" w:rsidRPr="00FF7074">
        <w:rPr>
          <w:lang w:val="pt-PT"/>
        </w:rPr>
        <w:t>efetiva</w:t>
      </w:r>
      <w:r w:rsidR="00DA0091" w:rsidRPr="00FF7074">
        <w:rPr>
          <w:lang w:val="pt-PT"/>
        </w:rPr>
        <w:t xml:space="preserve"> e o intercâmbio de informações</w:t>
      </w:r>
      <w:r w:rsidRPr="00FF7074">
        <w:rPr>
          <w:lang w:val="pt-PT"/>
        </w:rPr>
        <w:t>, maximiza</w:t>
      </w:r>
      <w:r w:rsidR="004611DE" w:rsidRPr="00FF7074">
        <w:rPr>
          <w:lang w:val="pt-PT"/>
        </w:rPr>
        <w:t>ndo</w:t>
      </w:r>
      <w:r w:rsidRPr="00FF7074">
        <w:rPr>
          <w:lang w:val="pt-PT"/>
        </w:rPr>
        <w:t xml:space="preserve"> o impacto da investigação académica</w:t>
      </w:r>
      <w:r w:rsidR="004611DE" w:rsidRPr="00FF7074">
        <w:rPr>
          <w:lang w:val="pt-PT"/>
        </w:rPr>
        <w:t xml:space="preserve"> e</w:t>
      </w:r>
      <w:r w:rsidRPr="00FF7074">
        <w:rPr>
          <w:lang w:val="pt-PT"/>
        </w:rPr>
        <w:t xml:space="preserve"> promovendo aplicações práticas e incentivando a inovação, o que conduz a um impacto económico e social significativo.</w:t>
      </w:r>
    </w:p>
    <w:p w14:paraId="6BC9FA91" w14:textId="20AD4D49" w:rsidR="00DA0091" w:rsidRPr="00FF7074" w:rsidRDefault="008D5975" w:rsidP="00DA0091">
      <w:pPr>
        <w:ind w:firstLine="0"/>
        <w:rPr>
          <w:lang w:val="pt-PT"/>
        </w:rPr>
      </w:pPr>
      <w:r w:rsidRPr="00FF7074">
        <w:rPr>
          <w:b/>
          <w:bCs/>
          <w:lang w:val="pt-PT"/>
        </w:rPr>
        <w:t>R</w:t>
      </w:r>
      <w:r w:rsidR="00DA0091" w:rsidRPr="00FF7074">
        <w:rPr>
          <w:b/>
          <w:bCs/>
          <w:lang w:val="pt-PT"/>
        </w:rPr>
        <w:t xml:space="preserve">euniões regulares </w:t>
      </w:r>
      <w:r w:rsidRPr="00FF7074">
        <w:rPr>
          <w:lang w:val="pt-PT"/>
        </w:rPr>
        <w:t>entre as</w:t>
      </w:r>
      <w:r w:rsidR="00DA0091" w:rsidRPr="00FF7074">
        <w:rPr>
          <w:lang w:val="pt-PT"/>
        </w:rPr>
        <w:t xml:space="preserve"> equipas de investigação e os </w:t>
      </w:r>
      <w:proofErr w:type="spellStart"/>
      <w:r w:rsidRPr="00FF7074">
        <w:rPr>
          <w:lang w:val="pt-PT"/>
        </w:rPr>
        <w:t>TTOs</w:t>
      </w:r>
      <w:proofErr w:type="spellEnd"/>
      <w:r w:rsidR="00DA0091" w:rsidRPr="00FF7074">
        <w:rPr>
          <w:lang w:val="pt-PT"/>
        </w:rPr>
        <w:t xml:space="preserve"> para discutir </w:t>
      </w:r>
      <w:r w:rsidR="00E462E6" w:rsidRPr="00FF7074">
        <w:rPr>
          <w:lang w:val="pt-PT"/>
        </w:rPr>
        <w:t>projetos</w:t>
      </w:r>
      <w:r w:rsidR="00DA0091" w:rsidRPr="00FF7074">
        <w:rPr>
          <w:lang w:val="pt-PT"/>
        </w:rPr>
        <w:t xml:space="preserve"> em curso, potenciais oportunidades de comercialização e </w:t>
      </w:r>
      <w:r w:rsidR="00E462E6" w:rsidRPr="00FF7074">
        <w:rPr>
          <w:lang w:val="pt-PT"/>
        </w:rPr>
        <w:t>atualizações</w:t>
      </w:r>
      <w:r w:rsidR="00DA0091" w:rsidRPr="00FF7074">
        <w:rPr>
          <w:lang w:val="pt-PT"/>
        </w:rPr>
        <w:t xml:space="preserve"> sobre a proteção da propriedade intelectual</w:t>
      </w:r>
      <w:r w:rsidR="00ED7437" w:rsidRPr="00FF7074">
        <w:rPr>
          <w:lang w:val="pt-PT"/>
        </w:rPr>
        <w:t xml:space="preserve"> são uma forma bastante efetiva de manter a</w:t>
      </w:r>
      <w:r w:rsidR="00B922F6" w:rsidRPr="00FF7074">
        <w:rPr>
          <w:lang w:val="pt-PT"/>
        </w:rPr>
        <w:t>tualizada a informação sobre projetos de I&amp;D</w:t>
      </w:r>
      <w:r w:rsidR="00DA0091" w:rsidRPr="00FF7074">
        <w:rPr>
          <w:lang w:val="pt-PT"/>
        </w:rPr>
        <w:t xml:space="preserve">. Estas reuniões constituem uma oportunidade para trocar ideias, abordar preocupações e assegurar o alinhamento entre as </w:t>
      </w:r>
      <w:r w:rsidR="00E462E6" w:rsidRPr="00FF7074">
        <w:rPr>
          <w:lang w:val="pt-PT"/>
        </w:rPr>
        <w:t>atividades</w:t>
      </w:r>
      <w:r w:rsidR="00DA0091" w:rsidRPr="00FF7074">
        <w:rPr>
          <w:lang w:val="pt-PT"/>
        </w:rPr>
        <w:t xml:space="preserve"> de investigação e os </w:t>
      </w:r>
      <w:r w:rsidR="00E462E6" w:rsidRPr="00FF7074">
        <w:rPr>
          <w:lang w:val="pt-PT"/>
        </w:rPr>
        <w:t>objetivos</w:t>
      </w:r>
      <w:r w:rsidR="00DA0091" w:rsidRPr="00FF7074">
        <w:rPr>
          <w:lang w:val="pt-PT"/>
        </w:rPr>
        <w:t xml:space="preserve"> de transferência de tecnologia.</w:t>
      </w:r>
    </w:p>
    <w:p w14:paraId="3E9E743A" w14:textId="0012C26B" w:rsidR="00DA0091" w:rsidRPr="00FF7074" w:rsidRDefault="004B4B6D" w:rsidP="00DA0091">
      <w:pPr>
        <w:ind w:firstLine="0"/>
        <w:rPr>
          <w:lang w:val="pt-PT"/>
        </w:rPr>
      </w:pPr>
      <w:r w:rsidRPr="00FF7074">
        <w:rPr>
          <w:b/>
          <w:bCs/>
          <w:lang w:val="pt-PT"/>
        </w:rPr>
        <w:t xml:space="preserve">Formulários de </w:t>
      </w:r>
      <w:r w:rsidR="009345D6" w:rsidRPr="00FF7074">
        <w:rPr>
          <w:b/>
          <w:bCs/>
          <w:lang w:val="pt-PT"/>
        </w:rPr>
        <w:t>levantamento</w:t>
      </w:r>
      <w:r w:rsidRPr="00FF7074">
        <w:rPr>
          <w:b/>
          <w:bCs/>
          <w:lang w:val="pt-PT"/>
        </w:rPr>
        <w:t xml:space="preserve"> de projetos</w:t>
      </w:r>
      <w:r w:rsidR="64895988" w:rsidRPr="00FF7074">
        <w:rPr>
          <w:b/>
          <w:bCs/>
          <w:lang w:val="pt-PT"/>
        </w:rPr>
        <w:t>:</w:t>
      </w:r>
      <w:r w:rsidRPr="00FF7074">
        <w:rPr>
          <w:b/>
          <w:bCs/>
          <w:lang w:val="pt-PT"/>
        </w:rPr>
        <w:t xml:space="preserve"> </w:t>
      </w:r>
      <w:r w:rsidR="00DA0091" w:rsidRPr="00FF7074">
        <w:rPr>
          <w:lang w:val="pt-PT"/>
        </w:rPr>
        <w:t>Estas divulgações fornecem informações pormenorizadas sobre as suas invenções, inovações ou resultados da investigação e servem de base para avaliar o potencial comercial e determinar as estratégias adequadas para proteger e transferir a tecnologia.</w:t>
      </w:r>
    </w:p>
    <w:p w14:paraId="5FDDB01B" w14:textId="77777777" w:rsidR="00DA0091" w:rsidRPr="00FF7074" w:rsidRDefault="00DA0091" w:rsidP="00DA0091">
      <w:pPr>
        <w:ind w:firstLine="0"/>
        <w:rPr>
          <w:lang w:val="pt-PT"/>
        </w:rPr>
      </w:pPr>
      <w:r w:rsidRPr="00FF7074">
        <w:rPr>
          <w:lang w:val="pt-PT"/>
        </w:rPr>
        <w:lastRenderedPageBreak/>
        <w:t>Podem ser utilizadas plataformas, formatos e portais em linha para simplificar a comunicação e a partilha de informações. Estas opções servem como repositórios centralizados para apresentar divulgações de tecnologia, acompanhar o progresso, aceder a recursos e facilitar a colaboração entre equipas de investigação e profissionais de transferência de tecnologia.</w:t>
      </w:r>
    </w:p>
    <w:p w14:paraId="75698AD2" w14:textId="40B392C8" w:rsidR="004F3832" w:rsidRPr="00FF7074" w:rsidRDefault="00DA0091" w:rsidP="007C67C1">
      <w:pPr>
        <w:ind w:firstLine="0"/>
        <w:rPr>
          <w:lang w:val="pt-PT"/>
        </w:rPr>
      </w:pPr>
      <w:r w:rsidRPr="00FF7074">
        <w:rPr>
          <w:lang w:val="pt-PT"/>
        </w:rPr>
        <w:t xml:space="preserve">A comunicação eficaz entre as equipas de investigação e os gabinetes de transferência de tecnologia assenta numa combinação de </w:t>
      </w:r>
      <w:r w:rsidR="00E462E6" w:rsidRPr="00FF7074">
        <w:rPr>
          <w:lang w:val="pt-PT"/>
        </w:rPr>
        <w:t>interações</w:t>
      </w:r>
      <w:r w:rsidRPr="00FF7074">
        <w:rPr>
          <w:lang w:val="pt-PT"/>
        </w:rPr>
        <w:t xml:space="preserve"> presenciais, acordos formais, processos de avaliação, iniciativas de formação e plataformas digitais. Estes mecanismos promovem a colaboração, o intercâmbio de conhecimentos e o êxito da transferência de tecnologia do meio académico para o sector comercial.</w:t>
      </w:r>
    </w:p>
    <w:p w14:paraId="489228AD" w14:textId="30D66B91" w:rsidR="00AD1683" w:rsidRPr="00FF7074" w:rsidRDefault="66910712" w:rsidP="003453B8">
      <w:pPr>
        <w:pStyle w:val="Ttulo2"/>
      </w:pPr>
      <w:bookmarkStart w:id="54" w:name="_Toc138420948"/>
      <w:r w:rsidRPr="00FF7074">
        <w:t>Avaliação preliminar do potencial e viabilidade de mercado da tecnologia</w:t>
      </w:r>
      <w:bookmarkEnd w:id="54"/>
    </w:p>
    <w:p w14:paraId="7568971B" w14:textId="02F1D19E" w:rsidR="00205093" w:rsidRPr="00FF7074" w:rsidRDefault="25CD3903" w:rsidP="471E07C3">
      <w:pPr>
        <w:spacing w:after="160"/>
        <w:ind w:firstLine="0"/>
        <w:rPr>
          <w:rFonts w:asciiTheme="minorHAnsi" w:eastAsiaTheme="minorEastAsia" w:hAnsiTheme="minorHAnsi" w:cstheme="minorBidi"/>
          <w:color w:val="000000"/>
          <w:lang w:val="pt-PT"/>
        </w:rPr>
      </w:pPr>
      <w:r w:rsidRPr="00FF7074">
        <w:rPr>
          <w:rFonts w:asciiTheme="minorHAnsi" w:eastAsiaTheme="minorEastAsia" w:hAnsiTheme="minorHAnsi" w:cstheme="minorBidi"/>
          <w:color w:val="000000"/>
          <w:lang w:val="pt-PT"/>
        </w:rPr>
        <w:t xml:space="preserve">As </w:t>
      </w:r>
      <w:r w:rsidR="00CC05FE" w:rsidRPr="00FF7074">
        <w:rPr>
          <w:rFonts w:asciiTheme="minorHAnsi" w:eastAsiaTheme="minorEastAsia" w:hAnsiTheme="minorHAnsi" w:cstheme="minorBidi"/>
          <w:color w:val="000000"/>
          <w:lang w:val="pt-PT"/>
        </w:rPr>
        <w:t>atividades</w:t>
      </w:r>
      <w:r w:rsidRPr="00FF7074">
        <w:rPr>
          <w:rFonts w:asciiTheme="minorHAnsi" w:eastAsiaTheme="minorEastAsia" w:hAnsiTheme="minorHAnsi" w:cstheme="minorBidi"/>
          <w:color w:val="000000"/>
          <w:lang w:val="pt-PT"/>
        </w:rPr>
        <w:t xml:space="preserve"> de investigação das instituições de ensino superior (IES) conduzem frequentemente a descobertas e invenções que podem ter aplicabilidade comercial.</w:t>
      </w:r>
    </w:p>
    <w:p w14:paraId="13268211" w14:textId="4478CF42" w:rsidR="00205093" w:rsidRPr="00FF7074" w:rsidRDefault="25CD3903" w:rsidP="471E07C3">
      <w:pPr>
        <w:spacing w:after="160"/>
        <w:ind w:firstLine="0"/>
        <w:rPr>
          <w:rFonts w:asciiTheme="minorHAnsi" w:eastAsiaTheme="minorEastAsia" w:hAnsiTheme="minorHAnsi" w:cstheme="minorBidi"/>
          <w:color w:val="000000"/>
          <w:lang w:val="pt-PT"/>
        </w:rPr>
      </w:pPr>
      <w:r w:rsidRPr="00FF7074">
        <w:rPr>
          <w:rFonts w:asciiTheme="minorHAnsi" w:eastAsiaTheme="minorEastAsia" w:hAnsiTheme="minorHAnsi" w:cstheme="minorBidi"/>
          <w:color w:val="000000"/>
          <w:lang w:val="pt-PT"/>
        </w:rPr>
        <w:t xml:space="preserve">O primeiro passo para poder avaliar a tecnologia desenvolvida e a sua viabilidade no mercado é </w:t>
      </w:r>
      <w:r w:rsidR="00114A05" w:rsidRPr="00FF7074">
        <w:rPr>
          <w:rFonts w:asciiTheme="minorHAnsi" w:eastAsiaTheme="minorEastAsia" w:hAnsiTheme="minorHAnsi" w:cstheme="minorBidi"/>
          <w:color w:val="000000"/>
          <w:lang w:val="pt-PT"/>
        </w:rPr>
        <w:t xml:space="preserve">o preenchimento e envio ao </w:t>
      </w:r>
      <w:r w:rsidR="00AE1BD3" w:rsidRPr="00FF7074">
        <w:rPr>
          <w:rFonts w:asciiTheme="minorHAnsi" w:eastAsiaTheme="minorEastAsia" w:hAnsiTheme="minorHAnsi" w:cstheme="minorBidi"/>
          <w:color w:val="000000"/>
          <w:lang w:val="pt-PT"/>
        </w:rPr>
        <w:t xml:space="preserve">TTO </w:t>
      </w:r>
      <w:r w:rsidR="00114A05" w:rsidRPr="00FF7074">
        <w:rPr>
          <w:rFonts w:asciiTheme="minorHAnsi" w:eastAsiaTheme="minorEastAsia" w:hAnsiTheme="minorHAnsi" w:cstheme="minorBidi"/>
          <w:color w:val="000000"/>
          <w:lang w:val="pt-PT"/>
        </w:rPr>
        <w:t xml:space="preserve">de uma </w:t>
      </w:r>
      <w:r w:rsidR="00114A05" w:rsidRPr="00FF7074">
        <w:rPr>
          <w:rFonts w:asciiTheme="minorHAnsi" w:eastAsiaTheme="minorEastAsia" w:hAnsiTheme="minorHAnsi" w:cstheme="minorBidi"/>
          <w:b/>
          <w:bCs/>
          <w:color w:val="000000"/>
          <w:lang w:val="pt-PT"/>
        </w:rPr>
        <w:t>Ficha de C</w:t>
      </w:r>
      <w:r w:rsidRPr="00FF7074">
        <w:rPr>
          <w:rFonts w:asciiTheme="minorHAnsi" w:eastAsiaTheme="minorEastAsia" w:hAnsiTheme="minorHAnsi" w:cstheme="minorBidi"/>
          <w:b/>
          <w:bCs/>
          <w:color w:val="000000"/>
          <w:lang w:val="pt-PT"/>
        </w:rPr>
        <w:t>omunicação d</w:t>
      </w:r>
      <w:r w:rsidR="00AE1BD3" w:rsidRPr="00FF7074">
        <w:rPr>
          <w:rFonts w:asciiTheme="minorHAnsi" w:eastAsiaTheme="minorEastAsia" w:hAnsiTheme="minorHAnsi" w:cstheme="minorBidi"/>
          <w:b/>
          <w:bCs/>
          <w:color w:val="000000"/>
          <w:lang w:val="pt-PT"/>
        </w:rPr>
        <w:t>e</w:t>
      </w:r>
      <w:r w:rsidRPr="00FF7074">
        <w:rPr>
          <w:rFonts w:asciiTheme="minorHAnsi" w:eastAsiaTheme="minorEastAsia" w:hAnsiTheme="minorHAnsi" w:cstheme="minorBidi"/>
          <w:b/>
          <w:bCs/>
          <w:color w:val="000000"/>
          <w:lang w:val="pt-PT"/>
        </w:rPr>
        <w:t xml:space="preserve"> </w:t>
      </w:r>
      <w:r w:rsidR="00AE1BD3" w:rsidRPr="00FF7074">
        <w:rPr>
          <w:rFonts w:asciiTheme="minorHAnsi" w:eastAsiaTheme="minorEastAsia" w:hAnsiTheme="minorHAnsi" w:cstheme="minorBidi"/>
          <w:b/>
          <w:bCs/>
          <w:color w:val="000000"/>
          <w:lang w:val="pt-PT"/>
        </w:rPr>
        <w:t>R</w:t>
      </w:r>
      <w:r w:rsidRPr="00FF7074">
        <w:rPr>
          <w:rFonts w:asciiTheme="minorHAnsi" w:eastAsiaTheme="minorEastAsia" w:hAnsiTheme="minorHAnsi" w:cstheme="minorBidi"/>
          <w:b/>
          <w:bCs/>
          <w:color w:val="000000"/>
          <w:lang w:val="pt-PT"/>
        </w:rPr>
        <w:t>esultados</w:t>
      </w:r>
      <w:r w:rsidR="00903F8E" w:rsidRPr="00FF7074">
        <w:rPr>
          <w:rFonts w:asciiTheme="minorHAnsi" w:eastAsiaTheme="minorEastAsia" w:hAnsiTheme="minorHAnsi" w:cstheme="minorBidi"/>
          <w:color w:val="000000"/>
          <w:lang w:val="pt-PT"/>
        </w:rPr>
        <w:t>,</w:t>
      </w:r>
      <w:r w:rsidR="00903F8E" w:rsidRPr="00FF7074">
        <w:rPr>
          <w:rFonts w:asciiTheme="minorHAnsi" w:eastAsiaTheme="minorEastAsia" w:hAnsiTheme="minorHAnsi" w:cstheme="minorBidi"/>
          <w:b/>
          <w:bCs/>
          <w:color w:val="000000"/>
          <w:lang w:val="pt-PT"/>
        </w:rPr>
        <w:t xml:space="preserve"> </w:t>
      </w:r>
      <w:r w:rsidRPr="00FF7074">
        <w:rPr>
          <w:rFonts w:asciiTheme="minorHAnsi" w:eastAsiaTheme="minorEastAsia" w:hAnsiTheme="minorHAnsi" w:cstheme="minorBidi"/>
          <w:color w:val="000000"/>
          <w:lang w:val="pt-PT"/>
        </w:rPr>
        <w:t xml:space="preserve">a ser preenchida pelos investigadores com toda a informação relevante de cada projeto. </w:t>
      </w:r>
    </w:p>
    <w:p w14:paraId="29B8878F" w14:textId="7CF00991" w:rsidR="471E07C3" w:rsidRPr="00FF7074" w:rsidRDefault="25CD3903" w:rsidP="471E07C3">
      <w:pPr>
        <w:spacing w:after="160"/>
        <w:ind w:firstLine="0"/>
        <w:rPr>
          <w:rFonts w:asciiTheme="minorHAnsi" w:eastAsiaTheme="minorEastAsia" w:hAnsiTheme="minorHAnsi" w:cstheme="minorBidi"/>
          <w:color w:val="000000"/>
          <w:lang w:val="pt-PT"/>
        </w:rPr>
      </w:pPr>
      <w:r w:rsidRPr="00FF7074">
        <w:rPr>
          <w:rFonts w:asciiTheme="minorHAnsi" w:eastAsiaTheme="minorEastAsia" w:hAnsiTheme="minorHAnsi" w:cstheme="minorBidi"/>
          <w:color w:val="000000"/>
          <w:lang w:val="pt-PT"/>
        </w:rPr>
        <w:t>Nesta fase inicial, os investigadores devem comunicar formalmente as suas descobertas e invenções através d</w:t>
      </w:r>
      <w:r w:rsidR="000E7B0E" w:rsidRPr="00FF7074">
        <w:rPr>
          <w:rFonts w:asciiTheme="minorHAnsi" w:eastAsiaTheme="minorEastAsia" w:hAnsiTheme="minorHAnsi" w:cstheme="minorBidi"/>
          <w:color w:val="000000"/>
          <w:lang w:val="pt-PT"/>
        </w:rPr>
        <w:t>o referido formulário</w:t>
      </w:r>
      <w:r w:rsidRPr="00FF7074">
        <w:rPr>
          <w:rFonts w:asciiTheme="minorHAnsi" w:eastAsiaTheme="minorEastAsia" w:hAnsiTheme="minorHAnsi" w:cstheme="minorBidi"/>
          <w:color w:val="000000"/>
          <w:lang w:val="pt-PT"/>
        </w:rPr>
        <w:t xml:space="preserve">, </w:t>
      </w:r>
      <w:r w:rsidR="00861F84" w:rsidRPr="00FF7074">
        <w:rPr>
          <w:rFonts w:asciiTheme="minorHAnsi" w:eastAsiaTheme="minorEastAsia" w:hAnsiTheme="minorHAnsi" w:cstheme="minorBidi"/>
          <w:color w:val="000000"/>
          <w:lang w:val="pt-PT"/>
        </w:rPr>
        <w:t xml:space="preserve">cujo objetivo é o de </w:t>
      </w:r>
      <w:r w:rsidRPr="00FF7074">
        <w:rPr>
          <w:rFonts w:asciiTheme="minorHAnsi" w:eastAsiaTheme="minorEastAsia" w:hAnsiTheme="minorHAnsi" w:cstheme="minorBidi"/>
          <w:color w:val="000000"/>
          <w:lang w:val="pt-PT"/>
        </w:rPr>
        <w:t>recolher e estruturar a informação sobre a tecnologia, e não apenas conter um resumo ou uma publicação técnica</w:t>
      </w:r>
      <w:r w:rsidR="00440932" w:rsidRPr="00FF7074">
        <w:rPr>
          <w:rFonts w:asciiTheme="minorHAnsi" w:eastAsiaTheme="minorEastAsia" w:hAnsiTheme="minorHAnsi" w:cstheme="minorBidi"/>
          <w:color w:val="000000"/>
          <w:lang w:val="pt-PT"/>
        </w:rPr>
        <w:t xml:space="preserve">. </w:t>
      </w:r>
      <w:r w:rsidR="00A24C50" w:rsidRPr="00FF7074">
        <w:rPr>
          <w:rFonts w:asciiTheme="minorHAnsi" w:eastAsiaTheme="minorEastAsia" w:hAnsiTheme="minorHAnsi" w:cstheme="minorBidi"/>
          <w:color w:val="000000"/>
          <w:lang w:val="pt-PT"/>
        </w:rPr>
        <w:t>O TTO</w:t>
      </w:r>
      <w:r w:rsidR="00C37E9B">
        <w:rPr>
          <w:rFonts w:asciiTheme="minorHAnsi" w:eastAsiaTheme="minorEastAsia" w:hAnsiTheme="minorHAnsi" w:cstheme="minorBidi"/>
          <w:color w:val="000000"/>
          <w:lang w:val="pt-PT"/>
        </w:rPr>
        <w:t>, em</w:t>
      </w:r>
      <w:r w:rsidR="00A24C50" w:rsidRPr="00FF7074">
        <w:rPr>
          <w:rFonts w:asciiTheme="minorHAnsi" w:eastAsiaTheme="minorEastAsia" w:hAnsiTheme="minorHAnsi" w:cstheme="minorBidi"/>
          <w:color w:val="000000"/>
          <w:lang w:val="pt-PT"/>
        </w:rPr>
        <w:t xml:space="preserve"> conjunt</w:t>
      </w:r>
      <w:r w:rsidR="00C37E9B">
        <w:rPr>
          <w:rFonts w:asciiTheme="minorHAnsi" w:eastAsiaTheme="minorEastAsia" w:hAnsiTheme="minorHAnsi" w:cstheme="minorBidi"/>
          <w:color w:val="000000"/>
          <w:lang w:val="pt-PT"/>
        </w:rPr>
        <w:t>o</w:t>
      </w:r>
      <w:r w:rsidR="00A24C50" w:rsidRPr="00FF7074">
        <w:rPr>
          <w:rFonts w:asciiTheme="minorHAnsi" w:eastAsiaTheme="minorEastAsia" w:hAnsiTheme="minorHAnsi" w:cstheme="minorBidi"/>
          <w:color w:val="000000"/>
          <w:lang w:val="pt-PT"/>
        </w:rPr>
        <w:t xml:space="preserve"> com as equipas de investigação</w:t>
      </w:r>
      <w:r w:rsidR="00C37E9B">
        <w:rPr>
          <w:rFonts w:asciiTheme="minorHAnsi" w:eastAsiaTheme="minorEastAsia" w:hAnsiTheme="minorHAnsi" w:cstheme="minorBidi"/>
          <w:color w:val="000000"/>
          <w:lang w:val="pt-PT"/>
        </w:rPr>
        <w:t>,</w:t>
      </w:r>
      <w:r w:rsidR="00A24C50" w:rsidRPr="00FF7074">
        <w:rPr>
          <w:rFonts w:asciiTheme="minorHAnsi" w:eastAsiaTheme="minorEastAsia" w:hAnsiTheme="minorHAnsi" w:cstheme="minorBidi"/>
          <w:color w:val="000000"/>
          <w:lang w:val="pt-PT"/>
        </w:rPr>
        <w:t xml:space="preserve"> poderá</w:t>
      </w:r>
      <w:r w:rsidR="00440932" w:rsidRPr="00FF7074">
        <w:rPr>
          <w:rFonts w:asciiTheme="minorHAnsi" w:eastAsiaTheme="minorEastAsia" w:hAnsiTheme="minorHAnsi" w:cstheme="minorBidi"/>
          <w:color w:val="000000"/>
          <w:lang w:val="pt-PT"/>
        </w:rPr>
        <w:t xml:space="preserve"> então analisar e </w:t>
      </w:r>
      <w:r w:rsidRPr="00FF7074">
        <w:rPr>
          <w:rFonts w:asciiTheme="minorHAnsi" w:eastAsiaTheme="minorEastAsia" w:hAnsiTheme="minorHAnsi" w:cstheme="minorBidi"/>
          <w:color w:val="000000"/>
          <w:lang w:val="pt-PT"/>
        </w:rPr>
        <w:t>avaliar</w:t>
      </w:r>
      <w:r w:rsidR="00440932" w:rsidRPr="00FF7074">
        <w:rPr>
          <w:rFonts w:asciiTheme="minorHAnsi" w:eastAsiaTheme="minorEastAsia" w:hAnsiTheme="minorHAnsi" w:cstheme="minorBidi"/>
          <w:color w:val="000000"/>
          <w:lang w:val="pt-PT"/>
        </w:rPr>
        <w:t xml:space="preserve"> preliminarmente</w:t>
      </w:r>
      <w:r w:rsidRPr="00FF7074">
        <w:rPr>
          <w:rFonts w:asciiTheme="minorHAnsi" w:eastAsiaTheme="minorEastAsia" w:hAnsiTheme="minorHAnsi" w:cstheme="minorBidi"/>
          <w:color w:val="000000"/>
          <w:lang w:val="pt-PT"/>
        </w:rPr>
        <w:t xml:space="preserve"> o potencial da invenção e desenvolver uma estratégia adequada de proteção e comercialização.</w:t>
      </w:r>
    </w:p>
    <w:p w14:paraId="207AE216" w14:textId="14CFECAE" w:rsidR="00205093" w:rsidRPr="00FF7074" w:rsidRDefault="25CD3903" w:rsidP="471E07C3">
      <w:pPr>
        <w:spacing w:after="160"/>
        <w:ind w:firstLine="0"/>
        <w:rPr>
          <w:rFonts w:asciiTheme="minorHAnsi" w:eastAsiaTheme="minorEastAsia" w:hAnsiTheme="minorHAnsi" w:cstheme="minorBidi"/>
          <w:color w:val="000000"/>
          <w:lang w:val="pt-PT"/>
        </w:rPr>
      </w:pPr>
      <w:r w:rsidRPr="00FF7074">
        <w:rPr>
          <w:rFonts w:asciiTheme="minorHAnsi" w:eastAsiaTheme="minorEastAsia" w:hAnsiTheme="minorHAnsi" w:cstheme="minorBidi"/>
          <w:color w:val="000000"/>
          <w:lang w:val="pt-PT"/>
        </w:rPr>
        <w:t xml:space="preserve">A avaliação do potencial e da viabilidade comercial de uma tecnologia pelo TTO deve ter em conta </w:t>
      </w:r>
      <w:r w:rsidR="008D4280" w:rsidRPr="00FF7074">
        <w:rPr>
          <w:rFonts w:asciiTheme="minorHAnsi" w:eastAsiaTheme="minorEastAsia" w:hAnsiTheme="minorHAnsi" w:cstheme="minorBidi"/>
          <w:color w:val="000000"/>
          <w:lang w:val="pt-PT"/>
        </w:rPr>
        <w:t>aspetos</w:t>
      </w:r>
      <w:r w:rsidRPr="00FF7074">
        <w:rPr>
          <w:rFonts w:asciiTheme="minorHAnsi" w:eastAsiaTheme="minorEastAsia" w:hAnsiTheme="minorHAnsi" w:cstheme="minorBidi"/>
          <w:color w:val="000000"/>
          <w:lang w:val="pt-PT"/>
        </w:rPr>
        <w:t xml:space="preserve"> relacionados tanto com a tecnologia em desenvolvimento como com o mercado relevante.</w:t>
      </w:r>
    </w:p>
    <w:p w14:paraId="7BB0F672" w14:textId="3E4C633E" w:rsidR="00205093" w:rsidRPr="00FF7074" w:rsidRDefault="25CD3903" w:rsidP="471E07C3">
      <w:pPr>
        <w:spacing w:after="160"/>
        <w:jc w:val="center"/>
        <w:rPr>
          <w:rFonts w:asciiTheme="minorHAnsi" w:eastAsiaTheme="minorEastAsia" w:hAnsiTheme="minorHAnsi" w:cstheme="minorBidi"/>
          <w:color w:val="000000"/>
          <w:lang w:val="pt-PT"/>
        </w:rPr>
      </w:pPr>
      <w:r w:rsidRPr="00FF7074">
        <w:rPr>
          <w:noProof/>
          <w:lang w:val="pt-PT"/>
        </w:rPr>
        <w:lastRenderedPageBreak/>
        <w:drawing>
          <wp:inline distT="0" distB="0" distL="0" distR="0" wp14:anchorId="62CE0DFB" wp14:editId="5EE7E274">
            <wp:extent cx="5391152" cy="2438400"/>
            <wp:effectExtent l="0" t="0" r="0" b="0"/>
            <wp:docPr id="1169359602" name="Imagem 1169359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359602"/>
                    <pic:cNvPicPr/>
                  </pic:nvPicPr>
                  <pic:blipFill>
                    <a:blip r:embed="rId25">
                      <a:extLst>
                        <a:ext uri="{28A0092B-C50C-407E-A947-70E740481C1C}">
                          <a14:useLocalDpi xmlns:a14="http://schemas.microsoft.com/office/drawing/2010/main" val="0"/>
                        </a:ext>
                      </a:extLst>
                    </a:blip>
                    <a:stretch>
                      <a:fillRect/>
                    </a:stretch>
                  </pic:blipFill>
                  <pic:spPr>
                    <a:xfrm>
                      <a:off x="0" y="0"/>
                      <a:ext cx="5391152" cy="2438400"/>
                    </a:xfrm>
                    <a:prstGeom prst="rect">
                      <a:avLst/>
                    </a:prstGeom>
                  </pic:spPr>
                </pic:pic>
              </a:graphicData>
            </a:graphic>
          </wp:inline>
        </w:drawing>
      </w:r>
    </w:p>
    <w:p w14:paraId="171C683E" w14:textId="6E83266E" w:rsidR="00205093" w:rsidRPr="00FF7074" w:rsidRDefault="25CD3903" w:rsidP="471E07C3">
      <w:pPr>
        <w:spacing w:after="160"/>
        <w:ind w:firstLine="0"/>
        <w:rPr>
          <w:rFonts w:asciiTheme="minorHAnsi" w:eastAsiaTheme="minorEastAsia" w:hAnsiTheme="minorHAnsi" w:cstheme="minorBidi"/>
          <w:color w:val="000000"/>
          <w:lang w:val="pt-PT"/>
        </w:rPr>
      </w:pPr>
      <w:r w:rsidRPr="00FF7074">
        <w:rPr>
          <w:rFonts w:asciiTheme="minorHAnsi" w:eastAsiaTheme="minorEastAsia" w:hAnsiTheme="minorHAnsi" w:cstheme="minorBidi"/>
          <w:color w:val="000000"/>
          <w:lang w:val="pt-PT"/>
        </w:rPr>
        <w:t xml:space="preserve">Esta avaliação implica </w:t>
      </w:r>
      <w:r w:rsidR="008D4280" w:rsidRPr="00FF7074">
        <w:rPr>
          <w:rFonts w:asciiTheme="minorHAnsi" w:eastAsiaTheme="minorEastAsia" w:hAnsiTheme="minorHAnsi" w:cstheme="minorBidi"/>
          <w:color w:val="000000"/>
          <w:lang w:val="pt-PT"/>
        </w:rPr>
        <w:t xml:space="preserve">considerar </w:t>
      </w:r>
      <w:r w:rsidRPr="00FF7074">
        <w:rPr>
          <w:rFonts w:asciiTheme="minorHAnsi" w:eastAsiaTheme="minorEastAsia" w:hAnsiTheme="minorHAnsi" w:cstheme="minorBidi"/>
          <w:color w:val="000000"/>
          <w:lang w:val="pt-PT"/>
        </w:rPr>
        <w:t xml:space="preserve">uma série de </w:t>
      </w:r>
      <w:r w:rsidR="008D4280" w:rsidRPr="00FF7074">
        <w:rPr>
          <w:rFonts w:asciiTheme="minorHAnsi" w:eastAsiaTheme="minorEastAsia" w:hAnsiTheme="minorHAnsi" w:cstheme="minorBidi"/>
          <w:color w:val="000000"/>
          <w:lang w:val="pt-PT"/>
        </w:rPr>
        <w:t>fatores</w:t>
      </w:r>
      <w:r w:rsidRPr="00FF7074">
        <w:rPr>
          <w:rFonts w:asciiTheme="minorHAnsi" w:eastAsiaTheme="minorEastAsia" w:hAnsiTheme="minorHAnsi" w:cstheme="minorBidi"/>
          <w:color w:val="000000"/>
          <w:lang w:val="pt-PT"/>
        </w:rPr>
        <w:t xml:space="preserve"> para determinar se uma tecnologia é suscetível de </w:t>
      </w:r>
      <w:r w:rsidR="008D4280" w:rsidRPr="00FF7074">
        <w:rPr>
          <w:rFonts w:asciiTheme="minorHAnsi" w:eastAsiaTheme="minorEastAsia" w:hAnsiTheme="minorHAnsi" w:cstheme="minorBidi"/>
          <w:color w:val="000000"/>
          <w:lang w:val="pt-PT"/>
        </w:rPr>
        <w:t>ter viabilidade tecnológica e económica</w:t>
      </w:r>
      <w:r w:rsidR="00751989" w:rsidRPr="00FF7074">
        <w:rPr>
          <w:rFonts w:asciiTheme="minorHAnsi" w:eastAsiaTheme="minorEastAsia" w:hAnsiTheme="minorHAnsi" w:cstheme="minorBidi"/>
          <w:color w:val="000000"/>
          <w:lang w:val="pt-PT"/>
        </w:rPr>
        <w:t>, perspetivando-se a sua implementação e adoção pelo mercado-alvo</w:t>
      </w:r>
      <w:r w:rsidRPr="00FF7074">
        <w:rPr>
          <w:rFonts w:asciiTheme="minorHAnsi" w:eastAsiaTheme="minorEastAsia" w:hAnsiTheme="minorHAnsi" w:cstheme="minorBidi"/>
          <w:color w:val="000000"/>
          <w:lang w:val="pt-PT"/>
        </w:rPr>
        <w:t>.</w:t>
      </w:r>
    </w:p>
    <w:p w14:paraId="776EBDA1" w14:textId="3E4C633E" w:rsidR="00205093" w:rsidRPr="00FF7074" w:rsidRDefault="25CD3903" w:rsidP="471E07C3">
      <w:pPr>
        <w:spacing w:after="160"/>
        <w:ind w:firstLine="0"/>
        <w:rPr>
          <w:rFonts w:asciiTheme="minorHAnsi" w:eastAsiaTheme="minorEastAsia" w:hAnsiTheme="minorHAnsi" w:cstheme="minorBidi"/>
          <w:color w:val="000000"/>
          <w:lang w:val="pt-PT"/>
        </w:rPr>
      </w:pPr>
      <w:r w:rsidRPr="00FF7074">
        <w:rPr>
          <w:rFonts w:asciiTheme="minorHAnsi" w:eastAsiaTheme="minorEastAsia" w:hAnsiTheme="minorHAnsi" w:cstheme="minorBidi"/>
          <w:color w:val="000000"/>
          <w:lang w:val="pt-PT"/>
        </w:rPr>
        <w:t xml:space="preserve">Isto implica a avaliação dos pontos fortes da tecnologia desenvolvida e a sua comparação com tecnologias semelhantes existentes. </w:t>
      </w:r>
    </w:p>
    <w:p w14:paraId="0377F32D" w14:textId="6C3344D6" w:rsidR="00205093" w:rsidRPr="00FF7074" w:rsidRDefault="25CD3903" w:rsidP="471E07C3">
      <w:pPr>
        <w:spacing w:after="160"/>
        <w:ind w:firstLine="0"/>
        <w:rPr>
          <w:rFonts w:asciiTheme="minorHAnsi" w:eastAsiaTheme="minorEastAsia" w:hAnsiTheme="minorHAnsi" w:cstheme="minorBidi"/>
          <w:color w:val="000000"/>
          <w:lang w:val="pt-PT"/>
        </w:rPr>
      </w:pPr>
      <w:r w:rsidRPr="00FF7074">
        <w:rPr>
          <w:rFonts w:asciiTheme="minorHAnsi" w:eastAsiaTheme="minorEastAsia" w:hAnsiTheme="minorHAnsi" w:cstheme="minorBidi"/>
          <w:color w:val="000000"/>
          <w:lang w:val="pt-PT"/>
        </w:rPr>
        <w:t xml:space="preserve">Os </w:t>
      </w:r>
      <w:r w:rsidR="00FF7074" w:rsidRPr="00FF7074">
        <w:rPr>
          <w:rFonts w:asciiTheme="minorHAnsi" w:eastAsiaTheme="minorEastAsia" w:hAnsiTheme="minorHAnsi" w:cstheme="minorBidi"/>
          <w:color w:val="000000"/>
          <w:lang w:val="pt-PT"/>
        </w:rPr>
        <w:t>fatores</w:t>
      </w:r>
      <w:r w:rsidRPr="00FF7074">
        <w:rPr>
          <w:rFonts w:asciiTheme="minorHAnsi" w:eastAsiaTheme="minorEastAsia" w:hAnsiTheme="minorHAnsi" w:cstheme="minorBidi"/>
          <w:color w:val="000000"/>
          <w:lang w:val="pt-PT"/>
        </w:rPr>
        <w:t xml:space="preserve"> de mercado, como a procura, os clientes potenciais e os concorrentes, também devem ser tidos em conta para avaliar se a tecnologia tem uma possibilidade realista de êxito no mercado e de sucesso comercial. </w:t>
      </w:r>
    </w:p>
    <w:p w14:paraId="342ADDB6" w14:textId="1F631671" w:rsidR="00205093" w:rsidRPr="00FF7074" w:rsidRDefault="25CD3903" w:rsidP="471E07C3">
      <w:pPr>
        <w:spacing w:after="160"/>
        <w:ind w:firstLine="0"/>
        <w:rPr>
          <w:rFonts w:asciiTheme="minorHAnsi" w:eastAsiaTheme="minorEastAsia" w:hAnsiTheme="minorHAnsi" w:cstheme="minorBidi"/>
          <w:color w:val="000000"/>
          <w:lang w:val="pt-PT"/>
        </w:rPr>
      </w:pPr>
      <w:r w:rsidRPr="00FF7074">
        <w:rPr>
          <w:rFonts w:asciiTheme="minorHAnsi" w:eastAsiaTheme="minorEastAsia" w:hAnsiTheme="minorHAnsi" w:cstheme="minorBidi"/>
          <w:color w:val="000000"/>
          <w:lang w:val="pt-PT"/>
        </w:rPr>
        <w:t xml:space="preserve">Em resumo, o processo de avaliação preliminar do potencial da tecnologia e da sua viabilidade no mercado deve avaliar os seguintes </w:t>
      </w:r>
      <w:r w:rsidR="00C37E9B" w:rsidRPr="00FF7074">
        <w:rPr>
          <w:rFonts w:asciiTheme="minorHAnsi" w:eastAsiaTheme="minorEastAsia" w:hAnsiTheme="minorHAnsi" w:cstheme="minorBidi"/>
          <w:color w:val="000000"/>
          <w:lang w:val="pt-PT"/>
        </w:rPr>
        <w:t>aspetos</w:t>
      </w:r>
      <w:r w:rsidRPr="00FF7074">
        <w:rPr>
          <w:rFonts w:asciiTheme="minorHAnsi" w:eastAsiaTheme="minorEastAsia" w:hAnsiTheme="minorHAnsi" w:cstheme="minorBidi"/>
          <w:color w:val="000000"/>
          <w:lang w:val="pt-PT"/>
        </w:rPr>
        <w:t>:</w:t>
      </w:r>
    </w:p>
    <w:p w14:paraId="18130FFB" w14:textId="40D18DA5" w:rsidR="00205093" w:rsidRPr="00FF7074" w:rsidRDefault="25CD3903" w:rsidP="00BB43B5">
      <w:pPr>
        <w:pStyle w:val="PargrafodaLista"/>
        <w:numPr>
          <w:ilvl w:val="1"/>
          <w:numId w:val="13"/>
        </w:numPr>
        <w:spacing w:after="160"/>
        <w:ind w:left="720" w:hanging="270"/>
        <w:rPr>
          <w:rFonts w:asciiTheme="minorHAnsi" w:eastAsiaTheme="minorEastAsia" w:hAnsiTheme="minorHAnsi" w:cstheme="minorBidi"/>
          <w:lang w:val="pt-PT"/>
        </w:rPr>
      </w:pPr>
      <w:r w:rsidRPr="00FF7074">
        <w:rPr>
          <w:rFonts w:asciiTheme="minorHAnsi" w:eastAsiaTheme="minorEastAsia" w:hAnsiTheme="minorHAnsi" w:cstheme="minorBidi"/>
          <w:b/>
          <w:bCs/>
          <w:lang w:val="pt-PT"/>
        </w:rPr>
        <w:t xml:space="preserve">Viabilidade tecnológica: </w:t>
      </w:r>
      <w:r w:rsidRPr="00FF7074">
        <w:rPr>
          <w:rFonts w:asciiTheme="minorHAnsi" w:eastAsiaTheme="minorEastAsia" w:hAnsiTheme="minorHAnsi" w:cstheme="minorBidi"/>
          <w:lang w:val="pt-PT"/>
        </w:rPr>
        <w:t xml:space="preserve">se a tecnologia pode ser desenvolvida e implementada com êxito. Inclui a avaliação de </w:t>
      </w:r>
      <w:r w:rsidR="0081422D" w:rsidRPr="00FF7074">
        <w:rPr>
          <w:rFonts w:asciiTheme="minorHAnsi" w:eastAsiaTheme="minorEastAsia" w:hAnsiTheme="minorHAnsi" w:cstheme="minorBidi"/>
          <w:lang w:val="pt-PT"/>
        </w:rPr>
        <w:t>fatores</w:t>
      </w:r>
      <w:r w:rsidRPr="00FF7074">
        <w:rPr>
          <w:rFonts w:asciiTheme="minorHAnsi" w:eastAsiaTheme="minorEastAsia" w:hAnsiTheme="minorHAnsi" w:cstheme="minorBidi"/>
          <w:lang w:val="pt-PT"/>
        </w:rPr>
        <w:t xml:space="preserve"> como a disponibilidade dos recursos necessários, as necessidades de desenvolvimento colaborativo, as competências necessárias, as </w:t>
      </w:r>
      <w:r w:rsidR="0081422D" w:rsidRPr="00FF7074">
        <w:rPr>
          <w:rFonts w:asciiTheme="minorHAnsi" w:eastAsiaTheme="minorEastAsia" w:hAnsiTheme="minorHAnsi" w:cstheme="minorBidi"/>
          <w:lang w:val="pt-PT"/>
        </w:rPr>
        <w:t>infraestruturas</w:t>
      </w:r>
      <w:r w:rsidRPr="00FF7074">
        <w:rPr>
          <w:rFonts w:asciiTheme="minorHAnsi" w:eastAsiaTheme="minorEastAsia" w:hAnsiTheme="minorHAnsi" w:cstheme="minorBidi"/>
          <w:lang w:val="pt-PT"/>
        </w:rPr>
        <w:t xml:space="preserve"> e os potenciais desafios ou condicionalismos.</w:t>
      </w:r>
    </w:p>
    <w:p w14:paraId="435FD929" w14:textId="582167E1" w:rsidR="00205093" w:rsidRPr="00FF7074" w:rsidRDefault="25CD3903" w:rsidP="00BB43B5">
      <w:pPr>
        <w:pStyle w:val="PargrafodaLista"/>
        <w:numPr>
          <w:ilvl w:val="1"/>
          <w:numId w:val="13"/>
        </w:numPr>
        <w:spacing w:after="160"/>
        <w:ind w:left="720" w:hanging="270"/>
        <w:rPr>
          <w:rFonts w:asciiTheme="minorHAnsi" w:eastAsiaTheme="minorEastAsia" w:hAnsiTheme="minorHAnsi" w:cstheme="minorBidi"/>
          <w:lang w:val="pt-PT"/>
        </w:rPr>
      </w:pPr>
      <w:r w:rsidRPr="00FF7074">
        <w:rPr>
          <w:rFonts w:asciiTheme="minorHAnsi" w:eastAsiaTheme="minorEastAsia" w:hAnsiTheme="minorHAnsi" w:cstheme="minorBidi"/>
          <w:b/>
          <w:bCs/>
          <w:lang w:val="pt-PT"/>
        </w:rPr>
        <w:t xml:space="preserve">Proposta de valor: </w:t>
      </w:r>
      <w:r w:rsidRPr="00FF7074">
        <w:rPr>
          <w:rFonts w:asciiTheme="minorHAnsi" w:eastAsiaTheme="minorEastAsia" w:hAnsiTheme="minorHAnsi" w:cstheme="minorBidi"/>
          <w:lang w:val="pt-PT"/>
        </w:rPr>
        <w:t xml:space="preserve">A proposta de valor da tecnologia desenvolvida é essencial para a sua viabilidade comercial. Trata-se de identificar os principais benefícios e vantagens oferecidos por um desenvolvimento em comparação com as alternativas existentes. Inclui a consideração de </w:t>
      </w:r>
      <w:r w:rsidR="0081422D" w:rsidRPr="00FF7074">
        <w:rPr>
          <w:rFonts w:asciiTheme="minorHAnsi" w:eastAsiaTheme="minorEastAsia" w:hAnsiTheme="minorHAnsi" w:cstheme="minorBidi"/>
          <w:lang w:val="pt-PT"/>
        </w:rPr>
        <w:t>fatores</w:t>
      </w:r>
      <w:r w:rsidRPr="00FF7074">
        <w:rPr>
          <w:rFonts w:asciiTheme="minorHAnsi" w:eastAsiaTheme="minorEastAsia" w:hAnsiTheme="minorHAnsi" w:cstheme="minorBidi"/>
          <w:lang w:val="pt-PT"/>
        </w:rPr>
        <w:t xml:space="preserve"> como a relação custo-eficácia, a eficiência, a escalabilidade, a sustentabilidade e o potencial retorno do investimento para os clientes.       </w:t>
      </w:r>
      <w:r w:rsidR="4E244051" w:rsidRPr="00FF7074">
        <w:rPr>
          <w:rFonts w:asciiTheme="minorHAnsi" w:eastAsiaTheme="minorEastAsia" w:hAnsiTheme="minorHAnsi" w:cstheme="minorBidi"/>
          <w:lang w:val="pt-PT"/>
        </w:rPr>
        <w:t xml:space="preserve">             </w:t>
      </w:r>
    </w:p>
    <w:p w14:paraId="1CDF63EF" w14:textId="0EE9CEBF" w:rsidR="00205093" w:rsidRPr="00FF7074" w:rsidRDefault="25CD3903" w:rsidP="00BB43B5">
      <w:pPr>
        <w:pStyle w:val="PargrafodaLista"/>
        <w:numPr>
          <w:ilvl w:val="1"/>
          <w:numId w:val="13"/>
        </w:numPr>
        <w:spacing w:after="160"/>
        <w:ind w:left="720" w:hanging="270"/>
        <w:rPr>
          <w:rFonts w:asciiTheme="minorHAnsi" w:eastAsiaTheme="minorEastAsia" w:hAnsiTheme="minorHAnsi" w:cstheme="minorBidi"/>
          <w:lang w:val="pt-PT"/>
        </w:rPr>
      </w:pPr>
      <w:r w:rsidRPr="00FF7074">
        <w:rPr>
          <w:rFonts w:asciiTheme="minorHAnsi" w:eastAsiaTheme="minorEastAsia" w:hAnsiTheme="minorHAnsi" w:cstheme="minorBidi"/>
          <w:b/>
          <w:bCs/>
          <w:lang w:val="pt-PT"/>
        </w:rPr>
        <w:t xml:space="preserve">Propriedade intelectual: </w:t>
      </w:r>
      <w:r w:rsidRPr="00FF7074">
        <w:rPr>
          <w:rFonts w:asciiTheme="minorHAnsi" w:eastAsiaTheme="minorEastAsia" w:hAnsiTheme="minorHAnsi" w:cstheme="minorBidi"/>
          <w:lang w:val="pt-PT"/>
        </w:rPr>
        <w:t xml:space="preserve">A avaliação do panorama da propriedade intelectual é importante para determinar se a tecnologia já está protegida. Isto implica a realização de uma análise exaustiva dos direitos de PI existentes (estado da técnica), </w:t>
      </w:r>
      <w:r w:rsidRPr="00FF7074">
        <w:rPr>
          <w:rFonts w:asciiTheme="minorHAnsi" w:eastAsiaTheme="minorEastAsia" w:hAnsiTheme="minorHAnsi" w:cstheme="minorBidi"/>
          <w:lang w:val="pt-PT"/>
        </w:rPr>
        <w:lastRenderedPageBreak/>
        <w:t xml:space="preserve">potenciais </w:t>
      </w:r>
      <w:r w:rsidR="00010109" w:rsidRPr="00FF7074">
        <w:rPr>
          <w:rFonts w:asciiTheme="minorHAnsi" w:eastAsiaTheme="minorEastAsia" w:hAnsiTheme="minorHAnsi" w:cstheme="minorBidi"/>
          <w:lang w:val="pt-PT"/>
        </w:rPr>
        <w:t>infrações</w:t>
      </w:r>
      <w:r w:rsidRPr="00FF7074">
        <w:rPr>
          <w:rFonts w:asciiTheme="minorHAnsi" w:eastAsiaTheme="minorEastAsia" w:hAnsiTheme="minorHAnsi" w:cstheme="minorBidi"/>
          <w:lang w:val="pt-PT"/>
        </w:rPr>
        <w:t xml:space="preserve"> (relatórios FTO baseados no estado da técnica) e a possibilidade de obter e manter direitos exclusivos sobre a tecnologia.</w:t>
      </w:r>
    </w:p>
    <w:p w14:paraId="140A5623" w14:textId="01541DC2" w:rsidR="00205093" w:rsidRPr="00FF7074" w:rsidRDefault="25CD3903" w:rsidP="00BB43B5">
      <w:pPr>
        <w:pStyle w:val="PargrafodaLista"/>
        <w:numPr>
          <w:ilvl w:val="1"/>
          <w:numId w:val="13"/>
        </w:numPr>
        <w:spacing w:after="160"/>
        <w:ind w:left="720" w:hanging="270"/>
        <w:rPr>
          <w:rFonts w:asciiTheme="minorHAnsi" w:eastAsiaTheme="minorEastAsia" w:hAnsiTheme="minorHAnsi" w:cstheme="minorBidi"/>
          <w:lang w:val="pt-PT"/>
        </w:rPr>
      </w:pPr>
      <w:r w:rsidRPr="00FF7074">
        <w:rPr>
          <w:rFonts w:asciiTheme="minorHAnsi" w:eastAsiaTheme="minorEastAsia" w:hAnsiTheme="minorHAnsi" w:cstheme="minorBidi"/>
          <w:b/>
          <w:bCs/>
          <w:lang w:val="pt-PT"/>
        </w:rPr>
        <w:t xml:space="preserve">Procura do mercado: </w:t>
      </w:r>
      <w:r w:rsidRPr="00FF7074">
        <w:rPr>
          <w:rFonts w:asciiTheme="minorHAnsi" w:eastAsiaTheme="minorEastAsia" w:hAnsiTheme="minorHAnsi" w:cstheme="minorBidi"/>
          <w:lang w:val="pt-PT"/>
        </w:rPr>
        <w:t>A avaliação da procura do mercado é fundamental para determinar se os potenciais clientes precisam ou querem a tecnologia desenvolvida. Para tal, é necessário investigar e analisar o mercado-alvo, identificar os pontos fracos ou os problemas que a tecnologia pode resolver e perceber se a dimensão do mercado e o potencial de crescimento são suficientes.</w:t>
      </w:r>
    </w:p>
    <w:p w14:paraId="731A5176" w14:textId="14323F1A" w:rsidR="00205093" w:rsidRPr="00FF7074" w:rsidRDefault="25CD3903" w:rsidP="00BB43B5">
      <w:pPr>
        <w:pStyle w:val="PargrafodaLista"/>
        <w:numPr>
          <w:ilvl w:val="1"/>
          <w:numId w:val="13"/>
        </w:numPr>
        <w:spacing w:after="160"/>
        <w:ind w:left="720" w:hanging="270"/>
        <w:rPr>
          <w:rFonts w:asciiTheme="minorHAnsi" w:eastAsiaTheme="minorEastAsia" w:hAnsiTheme="minorHAnsi" w:cstheme="minorBidi"/>
          <w:lang w:val="pt-PT"/>
        </w:rPr>
      </w:pPr>
      <w:r w:rsidRPr="00FF7074">
        <w:rPr>
          <w:rFonts w:asciiTheme="minorHAnsi" w:eastAsiaTheme="minorEastAsia" w:hAnsiTheme="minorHAnsi" w:cstheme="minorBidi"/>
          <w:b/>
          <w:bCs/>
          <w:lang w:val="pt-PT"/>
        </w:rPr>
        <w:t xml:space="preserve">Cenário competitivo: </w:t>
      </w:r>
      <w:r w:rsidRPr="00FF7074">
        <w:rPr>
          <w:rFonts w:asciiTheme="minorHAnsi" w:eastAsiaTheme="minorEastAsia" w:hAnsiTheme="minorHAnsi" w:cstheme="minorBidi"/>
          <w:lang w:val="pt-PT"/>
        </w:rPr>
        <w:t>A avaliação do cenário competitivo ajuda a identificar as soluções existentes ou os concorrentes no mercado. Esta análise envolve o estudo dos seus pontos fortes e fracos, da sua quota de mercado e das suas estratégias de preços e de diferenciação. Ajuda a avaliar se a tecnologia tem uma vantagem competitiva ou uma proposta de venda única.</w:t>
      </w:r>
    </w:p>
    <w:p w14:paraId="08192BAC" w14:textId="5A00BA02" w:rsidR="00205093" w:rsidRPr="00FF7074" w:rsidRDefault="25CD3903" w:rsidP="00BB43B5">
      <w:pPr>
        <w:pStyle w:val="PargrafodaLista"/>
        <w:numPr>
          <w:ilvl w:val="1"/>
          <w:numId w:val="13"/>
        </w:numPr>
        <w:spacing w:after="160"/>
        <w:ind w:left="720" w:hanging="270"/>
        <w:rPr>
          <w:rFonts w:asciiTheme="minorHAnsi" w:eastAsiaTheme="minorEastAsia" w:hAnsiTheme="minorHAnsi" w:cstheme="minorBidi"/>
          <w:lang w:val="pt-PT"/>
        </w:rPr>
      </w:pPr>
      <w:r w:rsidRPr="00FF7074">
        <w:rPr>
          <w:rFonts w:asciiTheme="minorHAnsi" w:eastAsiaTheme="minorEastAsia" w:hAnsiTheme="minorHAnsi" w:cstheme="minorBidi"/>
          <w:b/>
          <w:bCs/>
          <w:lang w:val="pt-PT"/>
        </w:rPr>
        <w:t xml:space="preserve">Considerações financeiras: </w:t>
      </w:r>
      <w:r w:rsidRPr="00FF7074">
        <w:rPr>
          <w:rFonts w:asciiTheme="minorHAnsi" w:eastAsiaTheme="minorEastAsia" w:hAnsiTheme="minorHAnsi" w:cstheme="minorBidi"/>
          <w:lang w:val="pt-PT"/>
        </w:rPr>
        <w:t xml:space="preserve">A avaliação da viabilidade financeira da tecnologia envolve o exame dos custos estimados de desenvolvimento, produção, comercialização e distribuição. Inclui também a avaliação de potenciais fluxos de receitas, modelos de preços, margens de lucro e a sustentabilidade financeira global da empresa. </w:t>
      </w:r>
    </w:p>
    <w:p w14:paraId="3ED35E17" w14:textId="5638824B" w:rsidR="00205093" w:rsidRPr="00FF7074" w:rsidRDefault="25CD3903" w:rsidP="00BB43B5">
      <w:pPr>
        <w:pStyle w:val="PargrafodaLista"/>
        <w:numPr>
          <w:ilvl w:val="1"/>
          <w:numId w:val="13"/>
        </w:numPr>
        <w:spacing w:after="160"/>
        <w:ind w:left="720" w:hanging="270"/>
        <w:rPr>
          <w:rFonts w:asciiTheme="minorHAnsi" w:eastAsiaTheme="minorEastAsia" w:hAnsiTheme="minorHAnsi" w:cstheme="minorBidi"/>
          <w:lang w:val="pt-PT"/>
        </w:rPr>
      </w:pPr>
      <w:r w:rsidRPr="00FF7074">
        <w:rPr>
          <w:rFonts w:asciiTheme="minorHAnsi" w:eastAsiaTheme="minorEastAsia" w:hAnsiTheme="minorHAnsi" w:cstheme="minorBidi"/>
          <w:b/>
          <w:bCs/>
          <w:lang w:val="pt-PT"/>
        </w:rPr>
        <w:t xml:space="preserve">Avaliação dos riscos: </w:t>
      </w:r>
      <w:r w:rsidRPr="00FF7074">
        <w:rPr>
          <w:rFonts w:asciiTheme="minorHAnsi" w:eastAsiaTheme="minorEastAsia" w:hAnsiTheme="minorHAnsi" w:cstheme="minorBidi"/>
          <w:lang w:val="pt-PT"/>
        </w:rPr>
        <w:t xml:space="preserve">É essencial identificar e avaliar os potenciais riscos e desafios associados à tecnologia. Isto inclui considerar os riscos técnicos, os riscos de mercado, os riscos regulamentares e quaisquer outros </w:t>
      </w:r>
      <w:r w:rsidR="00010109" w:rsidRPr="00FF7074">
        <w:rPr>
          <w:rFonts w:asciiTheme="minorHAnsi" w:eastAsiaTheme="minorEastAsia" w:hAnsiTheme="minorHAnsi" w:cstheme="minorBidi"/>
          <w:lang w:val="pt-PT"/>
        </w:rPr>
        <w:t>fatores</w:t>
      </w:r>
      <w:r w:rsidRPr="00FF7074">
        <w:rPr>
          <w:rFonts w:asciiTheme="minorHAnsi" w:eastAsiaTheme="minorEastAsia" w:hAnsiTheme="minorHAnsi" w:cstheme="minorBidi"/>
          <w:lang w:val="pt-PT"/>
        </w:rPr>
        <w:t xml:space="preserve"> que possam impedir a adoção e a comercialização </w:t>
      </w:r>
      <w:proofErr w:type="gramStart"/>
      <w:r w:rsidRPr="00FF7074">
        <w:rPr>
          <w:rFonts w:asciiTheme="minorHAnsi" w:eastAsiaTheme="minorEastAsia" w:hAnsiTheme="minorHAnsi" w:cstheme="minorBidi"/>
          <w:lang w:val="pt-PT"/>
        </w:rPr>
        <w:t>bem sucedida</w:t>
      </w:r>
      <w:proofErr w:type="gramEnd"/>
      <w:r w:rsidRPr="00FF7074">
        <w:rPr>
          <w:rFonts w:asciiTheme="minorHAnsi" w:eastAsiaTheme="minorEastAsia" w:hAnsiTheme="minorHAnsi" w:cstheme="minorBidi"/>
          <w:lang w:val="pt-PT"/>
        </w:rPr>
        <w:t xml:space="preserve"> da tecnologia.</w:t>
      </w:r>
    </w:p>
    <w:p w14:paraId="66787055" w14:textId="5F320233" w:rsidR="4C528AD0" w:rsidRPr="00FF7074" w:rsidRDefault="4C528AD0" w:rsidP="4C528AD0">
      <w:pPr>
        <w:spacing w:after="160"/>
        <w:ind w:firstLine="0"/>
        <w:rPr>
          <w:color w:val="000000"/>
          <w:lang w:val="pt-PT"/>
        </w:rPr>
      </w:pPr>
    </w:p>
    <w:p w14:paraId="67DCD643" w14:textId="562049C3" w:rsidR="53C588F0" w:rsidRDefault="53C588F0" w:rsidP="4C528AD0">
      <w:pPr>
        <w:spacing w:after="160"/>
        <w:ind w:firstLine="0"/>
        <w:rPr>
          <w:rFonts w:eastAsia="Verdana" w:cs="Verdana"/>
          <w:lang w:val="pt-PT"/>
        </w:rPr>
      </w:pPr>
      <w:r w:rsidRPr="00FF7074">
        <w:rPr>
          <w:rFonts w:eastAsia="Verdana" w:cs="Verdana"/>
          <w:color w:val="000000"/>
          <w:lang w:val="pt-PT"/>
        </w:rPr>
        <w:t xml:space="preserve">Tendo em conta o acima exposto, </w:t>
      </w:r>
      <w:r w:rsidR="00EB119B">
        <w:rPr>
          <w:rFonts w:eastAsia="Verdana" w:cs="Verdana"/>
          <w:color w:val="000000"/>
          <w:lang w:val="pt-PT"/>
        </w:rPr>
        <w:t xml:space="preserve">será necessário </w:t>
      </w:r>
      <w:r w:rsidRPr="00FF7074">
        <w:rPr>
          <w:rFonts w:eastAsia="Verdana" w:cs="Verdana"/>
          <w:color w:val="000000"/>
          <w:lang w:val="pt-PT"/>
        </w:rPr>
        <w:t>desenvolve</w:t>
      </w:r>
      <w:r w:rsidR="008606A7">
        <w:rPr>
          <w:rFonts w:eastAsia="Verdana" w:cs="Verdana"/>
          <w:color w:val="000000"/>
          <w:lang w:val="pt-PT"/>
        </w:rPr>
        <w:t>r um</w:t>
      </w:r>
      <w:r w:rsidRPr="00FF7074">
        <w:rPr>
          <w:rFonts w:eastAsia="Verdana" w:cs="Verdana"/>
          <w:color w:val="000000"/>
          <w:lang w:val="pt-PT"/>
        </w:rPr>
        <w:t xml:space="preserve"> </w:t>
      </w:r>
      <w:r w:rsidRPr="00367DC6">
        <w:rPr>
          <w:rFonts w:eastAsia="Verdana" w:cs="Verdana"/>
          <w:b/>
          <w:bCs/>
          <w:lang w:val="pt-PT"/>
        </w:rPr>
        <w:t>plano de viabilidade tecnológica</w:t>
      </w:r>
      <w:r w:rsidRPr="00367DC6">
        <w:rPr>
          <w:rFonts w:eastAsia="Verdana" w:cs="Verdana"/>
          <w:lang w:val="pt-PT"/>
        </w:rPr>
        <w:t xml:space="preserve"> </w:t>
      </w:r>
      <w:r w:rsidR="008606A7">
        <w:rPr>
          <w:rFonts w:eastAsia="Verdana" w:cs="Verdana"/>
          <w:color w:val="000000"/>
          <w:lang w:val="pt-PT"/>
        </w:rPr>
        <w:t>para cada tecnologia</w:t>
      </w:r>
      <w:r w:rsidR="00367DC6">
        <w:rPr>
          <w:rFonts w:eastAsia="Verdana" w:cs="Verdana"/>
          <w:color w:val="000000"/>
          <w:lang w:val="pt-PT"/>
        </w:rPr>
        <w:t>/projeto de I&amp;D</w:t>
      </w:r>
      <w:r w:rsidR="003018E6">
        <w:rPr>
          <w:rFonts w:eastAsia="Verdana" w:cs="Verdana"/>
          <w:color w:val="000000"/>
          <w:lang w:val="pt-PT"/>
        </w:rPr>
        <w:t xml:space="preserve">, </w:t>
      </w:r>
      <w:r w:rsidR="00367DC6">
        <w:rPr>
          <w:rFonts w:eastAsia="Verdana" w:cs="Verdana"/>
          <w:color w:val="000000"/>
          <w:lang w:val="pt-PT"/>
        </w:rPr>
        <w:t xml:space="preserve">que deverá ser regularmente atualizado </w:t>
      </w:r>
      <w:r w:rsidR="003018E6">
        <w:rPr>
          <w:rFonts w:eastAsia="Verdana" w:cs="Verdana"/>
          <w:color w:val="000000"/>
          <w:lang w:val="pt-PT"/>
        </w:rPr>
        <w:t xml:space="preserve">à medida que o </w:t>
      </w:r>
      <w:r w:rsidR="00367DC6">
        <w:rPr>
          <w:rFonts w:eastAsia="Verdana" w:cs="Verdana"/>
          <w:color w:val="000000"/>
          <w:lang w:val="pt-PT"/>
        </w:rPr>
        <w:t>projeto</w:t>
      </w:r>
      <w:r w:rsidR="003018E6">
        <w:rPr>
          <w:rFonts w:eastAsia="Verdana" w:cs="Verdana"/>
          <w:color w:val="000000"/>
          <w:lang w:val="pt-PT"/>
        </w:rPr>
        <w:t xml:space="preserve"> de I&amp;D se desenvolve e se obtém resultados </w:t>
      </w:r>
      <w:r w:rsidR="00367DC6">
        <w:rPr>
          <w:rFonts w:eastAsia="Verdana" w:cs="Verdana"/>
          <w:color w:val="000000"/>
          <w:lang w:val="pt-PT"/>
        </w:rPr>
        <w:t>experimentais</w:t>
      </w:r>
      <w:r w:rsidR="006037A4">
        <w:rPr>
          <w:rFonts w:eastAsia="Verdana" w:cs="Verdana"/>
          <w:color w:val="000000"/>
          <w:lang w:val="pt-PT"/>
        </w:rPr>
        <w:t xml:space="preserve"> relevantes</w:t>
      </w:r>
      <w:r w:rsidR="00367DC6">
        <w:rPr>
          <w:rFonts w:eastAsia="Verdana" w:cs="Verdana"/>
          <w:color w:val="000000"/>
          <w:lang w:val="pt-PT"/>
        </w:rPr>
        <w:t>.</w:t>
      </w:r>
      <w:r w:rsidRPr="00FF7074">
        <w:rPr>
          <w:rFonts w:eastAsia="Verdana" w:cs="Verdana"/>
          <w:lang w:val="pt-PT"/>
        </w:rPr>
        <w:t xml:space="preserve"> </w:t>
      </w:r>
    </w:p>
    <w:p w14:paraId="25E0AE4C" w14:textId="77777777" w:rsidR="006037A4" w:rsidRDefault="006037A4" w:rsidP="4C528AD0">
      <w:pPr>
        <w:spacing w:after="160"/>
        <w:ind w:firstLine="0"/>
        <w:rPr>
          <w:rFonts w:eastAsia="Verdana" w:cs="Verdana"/>
          <w:lang w:val="pt-PT"/>
        </w:rPr>
      </w:pPr>
    </w:p>
    <w:p w14:paraId="5115B471" w14:textId="77777777" w:rsidR="006037A4" w:rsidRDefault="006037A4" w:rsidP="4C528AD0">
      <w:pPr>
        <w:spacing w:after="160"/>
        <w:ind w:firstLine="0"/>
        <w:rPr>
          <w:rFonts w:eastAsia="Verdana" w:cs="Verdana"/>
          <w:lang w:val="pt-PT"/>
        </w:rPr>
      </w:pPr>
    </w:p>
    <w:p w14:paraId="5EA92CA9" w14:textId="77777777" w:rsidR="006037A4" w:rsidRDefault="006037A4" w:rsidP="4C528AD0">
      <w:pPr>
        <w:spacing w:after="160"/>
        <w:ind w:firstLine="0"/>
        <w:rPr>
          <w:rFonts w:eastAsia="Verdana" w:cs="Verdana"/>
          <w:lang w:val="pt-PT"/>
        </w:rPr>
      </w:pPr>
    </w:p>
    <w:p w14:paraId="30FFBCCE" w14:textId="77777777" w:rsidR="006037A4" w:rsidRDefault="006037A4" w:rsidP="4C528AD0">
      <w:pPr>
        <w:spacing w:after="160"/>
        <w:ind w:firstLine="0"/>
        <w:rPr>
          <w:rFonts w:eastAsia="Verdana" w:cs="Verdana"/>
          <w:lang w:val="pt-PT"/>
        </w:rPr>
      </w:pPr>
    </w:p>
    <w:p w14:paraId="7E153EE0" w14:textId="77777777" w:rsidR="006037A4" w:rsidRPr="00FF7074" w:rsidRDefault="006037A4" w:rsidP="4C528AD0">
      <w:pPr>
        <w:spacing w:after="160"/>
        <w:ind w:firstLine="0"/>
        <w:rPr>
          <w:rFonts w:eastAsia="Verdana" w:cs="Verdana"/>
          <w:lang w:val="pt-PT"/>
        </w:rPr>
      </w:pPr>
    </w:p>
    <w:p w14:paraId="18C4BD7C" w14:textId="29357D8D" w:rsidR="4C528AD0" w:rsidRPr="00FF7074" w:rsidRDefault="4C528AD0" w:rsidP="4C528AD0">
      <w:pPr>
        <w:spacing w:after="160" w:line="259" w:lineRule="auto"/>
        <w:rPr>
          <w:rFonts w:eastAsia="Verdana" w:cs="Verdana"/>
          <w:color w:val="000000"/>
          <w:lang w:val="pt-PT"/>
        </w:rPr>
      </w:pPr>
    </w:p>
    <w:p w14:paraId="63299167" w14:textId="5C1F0986" w:rsidR="64EC3667" w:rsidRPr="00FF7074" w:rsidRDefault="64EC3667" w:rsidP="00261575">
      <w:pPr>
        <w:pStyle w:val="Ttulo3"/>
      </w:pPr>
      <w:bookmarkStart w:id="55" w:name="_Toc138420949"/>
      <w:r w:rsidRPr="00FF7074">
        <w:lastRenderedPageBreak/>
        <w:t>Plano de viabilidade tecnológica</w:t>
      </w:r>
      <w:r w:rsidR="600BD945" w:rsidRPr="00FF7074">
        <w:t>:</w:t>
      </w:r>
      <w:bookmarkEnd w:id="55"/>
    </w:p>
    <w:p w14:paraId="52E63D35" w14:textId="23FE1493" w:rsidR="4C528AD0" w:rsidRPr="00C739F4" w:rsidRDefault="4C528AD0" w:rsidP="4C528AD0">
      <w:pPr>
        <w:spacing w:after="160" w:line="259" w:lineRule="auto"/>
        <w:ind w:firstLine="0"/>
        <w:jc w:val="center"/>
        <w:rPr>
          <w:rFonts w:eastAsia="Calibri" w:cs="Calibri"/>
          <w:color w:val="2921D1"/>
          <w:sz w:val="10"/>
          <w:szCs w:val="10"/>
          <w:lang w:val="pt-PT"/>
        </w:rPr>
      </w:pPr>
    </w:p>
    <w:p w14:paraId="080800B4" w14:textId="4D763B54" w:rsidR="7830F00F" w:rsidRPr="00FF7074" w:rsidRDefault="7830F00F" w:rsidP="4C528AD0">
      <w:pPr>
        <w:spacing w:after="160" w:line="259" w:lineRule="auto"/>
        <w:ind w:firstLine="0"/>
        <w:jc w:val="center"/>
        <w:rPr>
          <w:rFonts w:ascii="Calibri" w:eastAsia="Calibri" w:hAnsi="Calibri" w:cs="Calibri"/>
          <w:color w:val="000000"/>
          <w:sz w:val="24"/>
          <w:szCs w:val="24"/>
          <w:lang w:val="pt-PT"/>
        </w:rPr>
      </w:pPr>
      <w:r w:rsidRPr="00FF7074">
        <w:rPr>
          <w:noProof/>
          <w:lang w:val="pt-PT"/>
        </w:rPr>
        <w:drawing>
          <wp:inline distT="0" distB="0" distL="0" distR="0" wp14:anchorId="7F386935" wp14:editId="4FA8BCF7">
            <wp:extent cx="5486400" cy="1809750"/>
            <wp:effectExtent l="0" t="0" r="0" b="0"/>
            <wp:docPr id="1849945593" name="Imagem 1849945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5486400" cy="1809750"/>
                    </a:xfrm>
                    <a:prstGeom prst="rect">
                      <a:avLst/>
                    </a:prstGeom>
                  </pic:spPr>
                </pic:pic>
              </a:graphicData>
            </a:graphic>
          </wp:inline>
        </w:drawing>
      </w:r>
    </w:p>
    <w:tbl>
      <w:tblPr>
        <w:tblStyle w:val="TabelacomGrelha"/>
        <w:tblW w:w="0" w:type="auto"/>
        <w:jc w:val="center"/>
        <w:tblBorders>
          <w:top w:val="single" w:sz="6" w:space="0" w:color="auto"/>
          <w:left w:val="single" w:sz="6" w:space="0" w:color="auto"/>
          <w:bottom w:val="single" w:sz="6" w:space="0" w:color="auto"/>
          <w:right w:val="single" w:sz="6" w:space="0" w:color="auto"/>
        </w:tblBorders>
        <w:shd w:val="clear" w:color="auto" w:fill="BEECE1"/>
        <w:tblLayout w:type="fixed"/>
        <w:tblLook w:val="04A0" w:firstRow="1" w:lastRow="0" w:firstColumn="1" w:lastColumn="0" w:noHBand="0" w:noVBand="1"/>
      </w:tblPr>
      <w:tblGrid>
        <w:gridCol w:w="1800"/>
        <w:gridCol w:w="2025"/>
        <w:gridCol w:w="1980"/>
        <w:gridCol w:w="2115"/>
      </w:tblGrid>
      <w:tr w:rsidR="4C528AD0" w:rsidRPr="00FF7074" w14:paraId="061FD848" w14:textId="77777777" w:rsidTr="00261575">
        <w:trPr>
          <w:trHeight w:val="300"/>
          <w:jc w:val="center"/>
        </w:trPr>
        <w:tc>
          <w:tcPr>
            <w:tcW w:w="1800" w:type="dxa"/>
            <w:tcBorders>
              <w:top w:val="nil"/>
              <w:left w:val="nil"/>
              <w:bottom w:val="nil"/>
              <w:right w:val="nil"/>
            </w:tcBorders>
            <w:shd w:val="clear" w:color="auto" w:fill="BEECE1"/>
            <w:tcMar>
              <w:left w:w="105" w:type="dxa"/>
              <w:right w:w="105" w:type="dxa"/>
            </w:tcMar>
          </w:tcPr>
          <w:p w14:paraId="72ED4D72" w14:textId="038BD800" w:rsidR="4C528AD0" w:rsidRPr="00FF7074" w:rsidRDefault="00C94B85" w:rsidP="00D87920">
            <w:pPr>
              <w:pStyle w:val="PargrafodaLista"/>
              <w:numPr>
                <w:ilvl w:val="0"/>
                <w:numId w:val="12"/>
              </w:numPr>
              <w:spacing w:line="259" w:lineRule="auto"/>
              <w:ind w:left="176" w:hanging="142"/>
              <w:jc w:val="left"/>
              <w:rPr>
                <w:rFonts w:eastAsia="Verdana" w:cs="Verdana"/>
                <w:sz w:val="18"/>
                <w:szCs w:val="18"/>
                <w:lang w:val="pt-PT"/>
              </w:rPr>
            </w:pPr>
            <w:r>
              <w:rPr>
                <w:rFonts w:eastAsia="Verdana" w:cs="Verdana"/>
                <w:sz w:val="18"/>
                <w:szCs w:val="18"/>
                <w:lang w:val="pt-PT"/>
              </w:rPr>
              <w:t>Pesquisa ao estado da técnica</w:t>
            </w:r>
          </w:p>
        </w:tc>
        <w:tc>
          <w:tcPr>
            <w:tcW w:w="2025" w:type="dxa"/>
            <w:tcBorders>
              <w:top w:val="nil"/>
              <w:left w:val="nil"/>
              <w:bottom w:val="nil"/>
              <w:right w:val="nil"/>
            </w:tcBorders>
            <w:shd w:val="clear" w:color="auto" w:fill="BEECE1"/>
            <w:tcMar>
              <w:left w:w="105" w:type="dxa"/>
              <w:right w:w="105" w:type="dxa"/>
            </w:tcMar>
          </w:tcPr>
          <w:p w14:paraId="75764760" w14:textId="615DAF38" w:rsidR="4C528AD0" w:rsidRPr="00FF7074" w:rsidRDefault="4C528AD0" w:rsidP="00BB43B5">
            <w:pPr>
              <w:pStyle w:val="PargrafodaLista"/>
              <w:numPr>
                <w:ilvl w:val="0"/>
                <w:numId w:val="12"/>
              </w:numPr>
              <w:spacing w:line="259" w:lineRule="auto"/>
              <w:ind w:left="340" w:hanging="283"/>
              <w:jc w:val="left"/>
              <w:rPr>
                <w:rFonts w:eastAsia="Verdana" w:cs="Verdana"/>
                <w:sz w:val="18"/>
                <w:szCs w:val="18"/>
                <w:lang w:val="pt-PT"/>
              </w:rPr>
            </w:pPr>
            <w:r w:rsidRPr="00FF7074">
              <w:rPr>
                <w:rFonts w:eastAsia="Verdana" w:cs="Verdana"/>
                <w:sz w:val="18"/>
                <w:szCs w:val="18"/>
                <w:lang w:val="pt-PT"/>
              </w:rPr>
              <w:t>Identificação de potenciais aplicações</w:t>
            </w:r>
          </w:p>
          <w:p w14:paraId="4B9B4AE2" w14:textId="12FB5707" w:rsidR="4C528AD0" w:rsidRPr="00FF7074" w:rsidRDefault="4C528AD0" w:rsidP="00BB43B5">
            <w:pPr>
              <w:pStyle w:val="PargrafodaLista"/>
              <w:numPr>
                <w:ilvl w:val="0"/>
                <w:numId w:val="12"/>
              </w:numPr>
              <w:spacing w:line="259" w:lineRule="auto"/>
              <w:ind w:left="340" w:hanging="283"/>
              <w:jc w:val="left"/>
              <w:rPr>
                <w:rFonts w:eastAsia="Verdana" w:cs="Verdana"/>
                <w:sz w:val="18"/>
                <w:szCs w:val="18"/>
                <w:lang w:val="pt-PT"/>
              </w:rPr>
            </w:pPr>
            <w:r w:rsidRPr="00FF7074">
              <w:rPr>
                <w:rFonts w:eastAsia="Verdana" w:cs="Verdana"/>
                <w:sz w:val="18"/>
                <w:szCs w:val="18"/>
                <w:lang w:val="pt-PT"/>
              </w:rPr>
              <w:t>Determinação do TRL da tecnologia.</w:t>
            </w:r>
          </w:p>
        </w:tc>
        <w:tc>
          <w:tcPr>
            <w:tcW w:w="1980" w:type="dxa"/>
            <w:tcBorders>
              <w:top w:val="nil"/>
              <w:left w:val="nil"/>
              <w:bottom w:val="nil"/>
              <w:right w:val="nil"/>
            </w:tcBorders>
            <w:shd w:val="clear" w:color="auto" w:fill="BEECE1"/>
            <w:tcMar>
              <w:left w:w="105" w:type="dxa"/>
              <w:right w:w="105" w:type="dxa"/>
            </w:tcMar>
          </w:tcPr>
          <w:p w14:paraId="6AE6E9F4" w14:textId="4E01E6F4" w:rsidR="4C528AD0" w:rsidRPr="00FF7074" w:rsidRDefault="4C528AD0" w:rsidP="00BB43B5">
            <w:pPr>
              <w:pStyle w:val="PargrafodaLista"/>
              <w:numPr>
                <w:ilvl w:val="0"/>
                <w:numId w:val="12"/>
              </w:numPr>
              <w:spacing w:line="259" w:lineRule="auto"/>
              <w:ind w:left="206" w:hanging="206"/>
              <w:jc w:val="left"/>
              <w:rPr>
                <w:rFonts w:eastAsia="Verdana" w:cs="Verdana"/>
                <w:sz w:val="18"/>
                <w:szCs w:val="18"/>
                <w:lang w:val="pt-PT"/>
              </w:rPr>
            </w:pPr>
            <w:r w:rsidRPr="00FF7074">
              <w:rPr>
                <w:rFonts w:eastAsia="Verdana" w:cs="Verdana"/>
                <w:sz w:val="18"/>
                <w:szCs w:val="18"/>
                <w:lang w:val="pt-PT"/>
              </w:rPr>
              <w:t>Identificação de empresas com tecnologias concorrentes</w:t>
            </w:r>
          </w:p>
          <w:p w14:paraId="57063A39" w14:textId="485E1321" w:rsidR="4C528AD0" w:rsidRPr="00FF7074" w:rsidRDefault="4C528AD0" w:rsidP="00BB43B5">
            <w:pPr>
              <w:pStyle w:val="PargrafodaLista"/>
              <w:numPr>
                <w:ilvl w:val="0"/>
                <w:numId w:val="12"/>
              </w:numPr>
              <w:spacing w:line="259" w:lineRule="auto"/>
              <w:ind w:left="206" w:hanging="206"/>
              <w:jc w:val="left"/>
              <w:rPr>
                <w:rFonts w:eastAsia="Verdana" w:cs="Verdana"/>
                <w:sz w:val="18"/>
                <w:szCs w:val="18"/>
                <w:lang w:val="pt-PT"/>
              </w:rPr>
            </w:pPr>
            <w:r w:rsidRPr="00FF7074">
              <w:rPr>
                <w:rFonts w:eastAsia="Verdana" w:cs="Verdana"/>
                <w:sz w:val="18"/>
                <w:szCs w:val="18"/>
                <w:lang w:val="pt-PT"/>
              </w:rPr>
              <w:t>Eventuais barreiras comerciais</w:t>
            </w:r>
          </w:p>
        </w:tc>
        <w:tc>
          <w:tcPr>
            <w:tcW w:w="2115" w:type="dxa"/>
            <w:tcBorders>
              <w:top w:val="nil"/>
              <w:left w:val="nil"/>
              <w:bottom w:val="nil"/>
              <w:right w:val="nil"/>
            </w:tcBorders>
            <w:shd w:val="clear" w:color="auto" w:fill="BEECE1"/>
            <w:tcMar>
              <w:left w:w="105" w:type="dxa"/>
              <w:right w:w="105" w:type="dxa"/>
            </w:tcMar>
          </w:tcPr>
          <w:p w14:paraId="0B0A19BA" w14:textId="7F6FA482" w:rsidR="4C528AD0" w:rsidRPr="00C376AB" w:rsidRDefault="4C528AD0" w:rsidP="00C376AB">
            <w:pPr>
              <w:pStyle w:val="PargrafodaLista"/>
              <w:numPr>
                <w:ilvl w:val="0"/>
                <w:numId w:val="11"/>
              </w:numPr>
              <w:spacing w:line="259" w:lineRule="auto"/>
              <w:ind w:left="163" w:hanging="163"/>
              <w:jc w:val="left"/>
              <w:rPr>
                <w:rFonts w:eastAsia="Verdana" w:cs="Verdana"/>
                <w:i/>
                <w:iCs/>
                <w:sz w:val="18"/>
                <w:szCs w:val="18"/>
                <w:lang w:val="pt-PT"/>
              </w:rPr>
            </w:pPr>
            <w:r w:rsidRPr="00C376AB">
              <w:rPr>
                <w:rFonts w:eastAsia="Verdana" w:cs="Verdana"/>
                <w:i/>
                <w:iCs/>
                <w:sz w:val="18"/>
                <w:szCs w:val="18"/>
                <w:lang w:val="pt-PT"/>
              </w:rPr>
              <w:t xml:space="preserve">IP </w:t>
            </w:r>
            <w:proofErr w:type="spellStart"/>
            <w:r w:rsidRPr="00C376AB">
              <w:rPr>
                <w:rFonts w:eastAsia="Verdana" w:cs="Verdana"/>
                <w:i/>
                <w:iCs/>
                <w:sz w:val="18"/>
                <w:szCs w:val="18"/>
                <w:lang w:val="pt-PT"/>
              </w:rPr>
              <w:t>Scoring</w:t>
            </w:r>
            <w:proofErr w:type="spellEnd"/>
          </w:p>
        </w:tc>
      </w:tr>
    </w:tbl>
    <w:p w14:paraId="66857C87" w14:textId="53F45C2C" w:rsidR="006037A4" w:rsidRPr="006037A4" w:rsidRDefault="006037A4" w:rsidP="006037A4">
      <w:pPr>
        <w:spacing w:after="0" w:line="276" w:lineRule="auto"/>
        <w:ind w:firstLine="0"/>
        <w:jc w:val="center"/>
        <w:rPr>
          <w:i/>
          <w:iCs/>
          <w:color w:val="4B4F54" w:themeColor="text1"/>
          <w:sz w:val="18"/>
          <w:szCs w:val="18"/>
          <w:lang w:val="pt-PT"/>
        </w:rPr>
      </w:pPr>
      <w:r w:rsidRPr="006037A4">
        <w:rPr>
          <w:rFonts w:eastAsia="Verdana"/>
          <w:i/>
          <w:iCs/>
          <w:color w:val="4B4F54" w:themeColor="text1"/>
          <w:sz w:val="18"/>
          <w:szCs w:val="18"/>
          <w:lang w:val="pt-PT" w:eastAsia="en-US"/>
        </w:rPr>
        <w:t xml:space="preserve">Figura </w:t>
      </w:r>
      <w:r w:rsidRPr="00FF7074">
        <w:rPr>
          <w:rFonts w:eastAsia="Verdana"/>
          <w:i/>
          <w:iCs/>
          <w:color w:val="4B4F54" w:themeColor="text1"/>
          <w:sz w:val="18"/>
          <w:szCs w:val="18"/>
          <w:lang w:val="pt-PT" w:eastAsia="en-US"/>
        </w:rPr>
        <w:fldChar w:fldCharType="begin"/>
      </w:r>
      <w:r w:rsidRPr="006037A4">
        <w:rPr>
          <w:rFonts w:eastAsia="Verdana"/>
          <w:i/>
          <w:iCs/>
          <w:color w:val="4B4F54" w:themeColor="text1"/>
          <w:sz w:val="18"/>
          <w:szCs w:val="18"/>
          <w:lang w:val="pt-PT" w:eastAsia="en-US"/>
        </w:rPr>
        <w:instrText xml:space="preserve"> SEQ Figura \* ARABIC </w:instrText>
      </w:r>
      <w:r w:rsidRPr="00FF7074">
        <w:rPr>
          <w:rFonts w:eastAsia="Verdana"/>
          <w:i/>
          <w:iCs/>
          <w:color w:val="4B4F54" w:themeColor="text1"/>
          <w:sz w:val="18"/>
          <w:szCs w:val="18"/>
          <w:lang w:val="pt-PT" w:eastAsia="en-US"/>
        </w:rPr>
        <w:fldChar w:fldCharType="separate"/>
      </w:r>
      <w:r w:rsidR="008617AF">
        <w:rPr>
          <w:rFonts w:eastAsia="Verdana"/>
          <w:i/>
          <w:iCs/>
          <w:noProof/>
          <w:color w:val="4B4F54" w:themeColor="text1"/>
          <w:sz w:val="18"/>
          <w:szCs w:val="18"/>
          <w:lang w:val="pt-PT" w:eastAsia="en-US"/>
        </w:rPr>
        <w:t>12</w:t>
      </w:r>
      <w:r w:rsidRPr="00FF7074">
        <w:rPr>
          <w:rFonts w:eastAsia="Verdana"/>
          <w:i/>
          <w:iCs/>
          <w:color w:val="4B4F54" w:themeColor="text1"/>
          <w:sz w:val="18"/>
          <w:szCs w:val="18"/>
          <w:lang w:val="pt-PT" w:eastAsia="en-US"/>
        </w:rPr>
        <w:fldChar w:fldCharType="end"/>
      </w:r>
      <w:r w:rsidRPr="006037A4">
        <w:rPr>
          <w:i/>
          <w:iCs/>
          <w:color w:val="4B4F54" w:themeColor="text1"/>
          <w:sz w:val="18"/>
          <w:szCs w:val="18"/>
          <w:lang w:val="pt-PT"/>
        </w:rPr>
        <w:t>: E</w:t>
      </w:r>
      <w:r>
        <w:rPr>
          <w:i/>
          <w:iCs/>
          <w:color w:val="4B4F54" w:themeColor="text1"/>
          <w:sz w:val="18"/>
          <w:szCs w:val="18"/>
          <w:lang w:val="pt-PT"/>
        </w:rPr>
        <w:t>tapas a considerar num p</w:t>
      </w:r>
      <w:r w:rsidRPr="006037A4">
        <w:rPr>
          <w:i/>
          <w:iCs/>
          <w:color w:val="4B4F54" w:themeColor="text1"/>
          <w:sz w:val="18"/>
          <w:szCs w:val="18"/>
          <w:lang w:val="pt-PT"/>
        </w:rPr>
        <w:t xml:space="preserve">lano de </w:t>
      </w:r>
      <w:r>
        <w:rPr>
          <w:i/>
          <w:iCs/>
          <w:color w:val="4B4F54" w:themeColor="text1"/>
          <w:sz w:val="18"/>
          <w:szCs w:val="18"/>
          <w:lang w:val="pt-PT"/>
        </w:rPr>
        <w:t>viabilidade</w:t>
      </w:r>
      <w:r w:rsidRPr="006037A4">
        <w:rPr>
          <w:i/>
          <w:iCs/>
          <w:color w:val="4B4F54" w:themeColor="text1"/>
          <w:sz w:val="18"/>
          <w:szCs w:val="18"/>
          <w:lang w:val="pt-PT"/>
        </w:rPr>
        <w:t xml:space="preserve"> tecnológica.</w:t>
      </w:r>
    </w:p>
    <w:p w14:paraId="2A073FAE" w14:textId="479278E9" w:rsidR="006037A4" w:rsidRPr="00A95E68" w:rsidRDefault="006037A4" w:rsidP="006037A4">
      <w:pPr>
        <w:spacing w:after="0" w:line="276" w:lineRule="auto"/>
        <w:ind w:firstLine="0"/>
        <w:jc w:val="center"/>
        <w:rPr>
          <w:i/>
          <w:iCs/>
          <w:color w:val="4B4F54" w:themeColor="text1"/>
          <w:sz w:val="16"/>
          <w:szCs w:val="16"/>
          <w:lang w:val="pt-PT"/>
        </w:rPr>
      </w:pPr>
      <w:r w:rsidRPr="00A95E68">
        <w:rPr>
          <w:i/>
          <w:iCs/>
          <w:color w:val="4B4F54" w:themeColor="text1"/>
          <w:sz w:val="16"/>
          <w:szCs w:val="16"/>
          <w:lang w:val="pt-PT"/>
        </w:rPr>
        <w:t xml:space="preserve">Fonte: </w:t>
      </w:r>
      <w:r w:rsidR="00A95E68" w:rsidRPr="00A95E68">
        <w:rPr>
          <w:i/>
          <w:iCs/>
          <w:color w:val="4B4F54" w:themeColor="text1"/>
          <w:sz w:val="16"/>
          <w:szCs w:val="16"/>
          <w:lang w:val="pt-PT"/>
        </w:rPr>
        <w:t>E</w:t>
      </w:r>
      <w:r w:rsidRPr="00A95E68">
        <w:rPr>
          <w:i/>
          <w:iCs/>
          <w:color w:val="4B4F54" w:themeColor="text1"/>
          <w:sz w:val="16"/>
          <w:szCs w:val="16"/>
          <w:lang w:val="pt-PT"/>
        </w:rPr>
        <w:t xml:space="preserve">laboração </w:t>
      </w:r>
      <w:r w:rsidR="00BD665C" w:rsidRPr="00A95E68">
        <w:rPr>
          <w:i/>
          <w:iCs/>
          <w:color w:val="4B4F54" w:themeColor="text1"/>
          <w:sz w:val="16"/>
          <w:szCs w:val="16"/>
          <w:lang w:val="pt-PT"/>
        </w:rPr>
        <w:t>própria</w:t>
      </w:r>
      <w:r w:rsidR="00A95E68" w:rsidRPr="00A95E68">
        <w:rPr>
          <w:i/>
          <w:iCs/>
          <w:color w:val="4B4F54" w:themeColor="text1"/>
          <w:sz w:val="16"/>
          <w:szCs w:val="16"/>
          <w:lang w:val="pt-PT"/>
        </w:rPr>
        <w:t xml:space="preserve"> </w:t>
      </w:r>
      <w:r w:rsidR="00BD665C">
        <w:rPr>
          <w:i/>
          <w:iCs/>
          <w:color w:val="4B4F54" w:themeColor="text1"/>
          <w:sz w:val="16"/>
          <w:szCs w:val="16"/>
          <w:lang w:val="pt-PT"/>
        </w:rPr>
        <w:t>pel</w:t>
      </w:r>
      <w:r w:rsidR="00A95E68" w:rsidRPr="00A95E68">
        <w:rPr>
          <w:i/>
          <w:iCs/>
          <w:color w:val="4B4F54" w:themeColor="text1"/>
          <w:sz w:val="16"/>
          <w:szCs w:val="16"/>
          <w:lang w:val="pt-PT"/>
        </w:rPr>
        <w:t>a ClarkeModet</w:t>
      </w:r>
      <w:r w:rsidRPr="00A95E68">
        <w:rPr>
          <w:i/>
          <w:iCs/>
          <w:color w:val="4B4F54" w:themeColor="text1"/>
          <w:sz w:val="16"/>
          <w:szCs w:val="16"/>
          <w:lang w:val="pt-PT"/>
        </w:rPr>
        <w:t>.</w:t>
      </w:r>
    </w:p>
    <w:p w14:paraId="737AE645" w14:textId="35795617" w:rsidR="4C528AD0" w:rsidRPr="00C739F4" w:rsidRDefault="4C528AD0" w:rsidP="671880E5">
      <w:pPr>
        <w:spacing w:after="160"/>
        <w:rPr>
          <w:rFonts w:eastAsia="Verdana" w:cs="Verdana"/>
          <w:color w:val="000000"/>
          <w:sz w:val="10"/>
          <w:szCs w:val="10"/>
          <w:lang w:val="pt-PT"/>
        </w:rPr>
      </w:pPr>
    </w:p>
    <w:p w14:paraId="73B73148" w14:textId="4992249C" w:rsidR="64EC3667" w:rsidRPr="00234AAA" w:rsidRDefault="64EC3667" w:rsidP="00234AAA">
      <w:pPr>
        <w:spacing w:before="240" w:after="360"/>
        <w:ind w:left="567" w:hanging="567"/>
        <w:rPr>
          <w:rFonts w:asciiTheme="minorHAnsi" w:eastAsia="Verdana" w:hAnsiTheme="minorHAnsi" w:cs="Verdana"/>
          <w:b/>
          <w:bCs/>
          <w:color w:val="000000"/>
          <w:lang w:val="pt-PT"/>
        </w:rPr>
      </w:pPr>
      <w:r w:rsidRPr="00C94B85">
        <w:rPr>
          <w:rFonts w:asciiTheme="minorHAnsi" w:eastAsia="Verdana" w:hAnsiTheme="minorHAnsi" w:cs="Verdana"/>
          <w:b/>
          <w:bCs/>
          <w:color w:val="000000"/>
          <w:lang w:val="pt-PT"/>
        </w:rPr>
        <w:t>A.1</w:t>
      </w:r>
      <w:r w:rsidR="00C543AC" w:rsidRPr="00C94B85">
        <w:rPr>
          <w:rFonts w:asciiTheme="minorHAnsi" w:eastAsia="Verdana" w:hAnsiTheme="minorHAnsi" w:cs="Verdana"/>
          <w:b/>
          <w:bCs/>
          <w:color w:val="000000"/>
          <w:lang w:val="pt-PT"/>
        </w:rPr>
        <w:tab/>
      </w:r>
      <w:r w:rsidR="00C543AC" w:rsidRPr="00C94B85">
        <w:rPr>
          <w:rFonts w:asciiTheme="minorHAnsi" w:eastAsia="Verdana" w:hAnsiTheme="minorHAnsi" w:cs="Verdana"/>
          <w:b/>
          <w:bCs/>
          <w:color w:val="000000"/>
          <w:lang w:val="pt-PT"/>
        </w:rPr>
        <w:tab/>
      </w:r>
      <w:r w:rsidR="00C543AC" w:rsidRPr="00C94B85">
        <w:rPr>
          <w:rFonts w:asciiTheme="minorHAnsi" w:eastAsia="Verdana" w:hAnsiTheme="minorHAnsi" w:cs="Verdana"/>
          <w:b/>
          <w:bCs/>
          <w:color w:val="000000"/>
          <w:lang w:val="pt-PT"/>
        </w:rPr>
        <w:tab/>
      </w:r>
      <w:r w:rsidR="00C543AC" w:rsidRPr="00C94B85">
        <w:rPr>
          <w:rFonts w:asciiTheme="minorHAnsi" w:eastAsia="Verdana" w:hAnsiTheme="minorHAnsi" w:cs="Verdana"/>
          <w:b/>
          <w:bCs/>
          <w:color w:val="000000"/>
          <w:lang w:val="pt-PT"/>
        </w:rPr>
        <w:tab/>
      </w:r>
      <w:r w:rsidR="00C543AC" w:rsidRPr="00C94B85">
        <w:rPr>
          <w:rFonts w:asciiTheme="minorHAnsi" w:eastAsia="Verdana" w:hAnsiTheme="minorHAnsi" w:cs="Verdana"/>
          <w:b/>
          <w:bCs/>
          <w:color w:val="000000"/>
          <w:lang w:val="pt-PT"/>
        </w:rPr>
        <w:tab/>
      </w:r>
      <w:r w:rsidR="00C543AC" w:rsidRPr="00C94B85">
        <w:rPr>
          <w:rFonts w:asciiTheme="minorHAnsi" w:eastAsia="Verdana" w:hAnsiTheme="minorHAnsi" w:cs="Verdana"/>
          <w:b/>
          <w:bCs/>
          <w:color w:val="000000"/>
          <w:lang w:val="pt-PT"/>
        </w:rPr>
        <w:tab/>
      </w:r>
      <w:r w:rsidR="00C543AC" w:rsidRPr="00C94B85">
        <w:rPr>
          <w:rFonts w:asciiTheme="minorHAnsi" w:eastAsia="Verdana" w:hAnsiTheme="minorHAnsi" w:cs="Verdana"/>
          <w:b/>
          <w:bCs/>
          <w:color w:val="000000"/>
          <w:lang w:val="pt-PT"/>
        </w:rPr>
        <w:tab/>
      </w:r>
      <w:r w:rsidRPr="00C94B85">
        <w:rPr>
          <w:rFonts w:asciiTheme="minorHAnsi" w:eastAsia="Verdana" w:hAnsiTheme="minorHAnsi" w:cs="Verdana"/>
          <w:b/>
          <w:bCs/>
          <w:color w:val="000000"/>
          <w:lang w:val="pt-PT"/>
        </w:rPr>
        <w:t>Análise de P</w:t>
      </w:r>
      <w:r w:rsidR="00C94B85" w:rsidRPr="00C94B85">
        <w:rPr>
          <w:rFonts w:asciiTheme="minorHAnsi" w:eastAsia="Verdana" w:hAnsiTheme="minorHAnsi" w:cs="Verdana"/>
          <w:b/>
          <w:bCs/>
          <w:color w:val="000000"/>
          <w:lang w:val="pt-PT"/>
        </w:rPr>
        <w:t>I</w:t>
      </w:r>
      <w:r w:rsidRPr="00C94B85">
        <w:rPr>
          <w:rFonts w:asciiTheme="minorHAnsi" w:eastAsia="Verdana" w:hAnsiTheme="minorHAnsi" w:cs="Verdana"/>
          <w:b/>
          <w:bCs/>
          <w:color w:val="000000"/>
          <w:lang w:val="pt-PT"/>
        </w:rPr>
        <w:t xml:space="preserve">: </w:t>
      </w:r>
      <w:r w:rsidR="00C94B85" w:rsidRPr="00C94B85">
        <w:rPr>
          <w:rFonts w:asciiTheme="minorHAnsi" w:eastAsia="Verdana" w:hAnsiTheme="minorHAnsi" w:cs="Verdana"/>
          <w:b/>
          <w:bCs/>
          <w:color w:val="000000"/>
          <w:lang w:val="pt-PT"/>
        </w:rPr>
        <w:t>Pesquisa ao estado da técnica</w:t>
      </w:r>
      <w:r w:rsidRPr="00C94B85">
        <w:rPr>
          <w:rFonts w:asciiTheme="minorHAnsi" w:eastAsia="Verdana" w:hAnsiTheme="minorHAnsi" w:cs="Verdana"/>
          <w:b/>
          <w:bCs/>
          <w:color w:val="000000"/>
          <w:lang w:val="pt-PT"/>
        </w:rPr>
        <w:t>.</w:t>
      </w:r>
    </w:p>
    <w:p w14:paraId="3BC6F761" w14:textId="602D4A4A" w:rsidR="64EC3667" w:rsidRPr="00C94B85" w:rsidRDefault="64EC3667" w:rsidP="00C94B85">
      <w:pPr>
        <w:ind w:firstLine="0"/>
        <w:rPr>
          <w:rFonts w:asciiTheme="minorHAnsi" w:eastAsia="Verdana" w:hAnsiTheme="minorHAnsi" w:cs="Verdana"/>
          <w:color w:val="000000"/>
          <w:lang w:val="pt-PT"/>
        </w:rPr>
      </w:pPr>
      <w:r w:rsidRPr="00D87920">
        <w:rPr>
          <w:rFonts w:asciiTheme="minorHAnsi" w:eastAsia="Verdana" w:hAnsiTheme="minorHAnsi" w:cs="Verdana"/>
          <w:color w:val="000000"/>
          <w:lang w:val="pt-PT"/>
        </w:rPr>
        <w:t xml:space="preserve">O </w:t>
      </w:r>
      <w:r w:rsidRPr="00261575">
        <w:rPr>
          <w:rFonts w:asciiTheme="minorHAnsi" w:eastAsia="Verdana" w:hAnsiTheme="minorHAnsi" w:cs="Verdana"/>
          <w:color w:val="3CC4A4"/>
          <w:lang w:val="pt-PT"/>
        </w:rPr>
        <w:t xml:space="preserve">estado da </w:t>
      </w:r>
      <w:r w:rsidR="00D87920" w:rsidRPr="00261575">
        <w:rPr>
          <w:rFonts w:asciiTheme="minorHAnsi" w:eastAsia="Verdana" w:hAnsiTheme="minorHAnsi" w:cs="Verdana"/>
          <w:color w:val="3CC4A4"/>
          <w:lang w:val="pt-PT"/>
        </w:rPr>
        <w:t>técnica</w:t>
      </w:r>
      <w:r w:rsidRPr="00D87920">
        <w:rPr>
          <w:rFonts w:asciiTheme="minorHAnsi" w:eastAsia="Verdana" w:hAnsiTheme="minorHAnsi" w:cs="Verdana"/>
          <w:color w:val="000000"/>
          <w:lang w:val="pt-PT"/>
        </w:rPr>
        <w:t xml:space="preserve">, também conhecido como estado da </w:t>
      </w:r>
      <w:r w:rsidR="00D87920" w:rsidRPr="00D87920">
        <w:rPr>
          <w:rFonts w:asciiTheme="minorHAnsi" w:eastAsia="Verdana" w:hAnsiTheme="minorHAnsi" w:cs="Verdana"/>
          <w:color w:val="000000"/>
          <w:lang w:val="pt-PT"/>
        </w:rPr>
        <w:t>arte</w:t>
      </w:r>
      <w:r w:rsidRPr="00D87920">
        <w:rPr>
          <w:rFonts w:asciiTheme="minorHAnsi" w:eastAsia="Verdana" w:hAnsiTheme="minorHAnsi" w:cs="Verdana"/>
          <w:color w:val="000000"/>
          <w:lang w:val="pt-PT"/>
        </w:rPr>
        <w:t xml:space="preserve"> ou do conhecimento, refere-se ao conjunto de conhecimentos, técnicas, tecnologias e práticas existentes que são reconhecidos e aceites como referência ou ponto de partida para a investigação, inovação ou desenvolvimento futuros no domínio.</w:t>
      </w:r>
      <w:r w:rsidR="00B60B10">
        <w:rPr>
          <w:rFonts w:asciiTheme="minorHAnsi" w:eastAsia="Verdana" w:hAnsiTheme="minorHAnsi" w:cs="Verdana"/>
          <w:color w:val="000000"/>
          <w:lang w:val="pt-PT"/>
        </w:rPr>
        <w:t xml:space="preserve"> </w:t>
      </w:r>
    </w:p>
    <w:p w14:paraId="4B0AB577" w14:textId="4E1868B6" w:rsidR="64EC3667" w:rsidRPr="00C94B85" w:rsidRDefault="64EC3667" w:rsidP="00C94B85">
      <w:pPr>
        <w:ind w:firstLine="0"/>
        <w:rPr>
          <w:rFonts w:asciiTheme="minorHAnsi" w:eastAsia="Verdana" w:hAnsiTheme="minorHAnsi" w:cs="Verdana"/>
          <w:color w:val="000000"/>
          <w:lang w:val="pt-PT"/>
        </w:rPr>
      </w:pPr>
      <w:r w:rsidRPr="00C94B85">
        <w:rPr>
          <w:rFonts w:asciiTheme="minorHAnsi" w:eastAsia="Verdana" w:hAnsiTheme="minorHAnsi" w:cs="Verdana"/>
          <w:color w:val="000000"/>
          <w:lang w:val="pt-PT"/>
        </w:rPr>
        <w:t>Há que ter em conta que todos os anos são rejeitados 300 000 pedidos de patentes a nível mundial por falta de novidade, o que representa 30% do investimento em investigação e desenvolvimento na Europa.</w:t>
      </w:r>
      <w:r w:rsidR="00B60B10">
        <w:rPr>
          <w:rFonts w:asciiTheme="minorHAnsi" w:eastAsia="Verdana" w:hAnsiTheme="minorHAnsi" w:cs="Verdana"/>
          <w:color w:val="000000"/>
          <w:lang w:val="pt-PT"/>
        </w:rPr>
        <w:t xml:space="preserve"> Assim, conhecer o </w:t>
      </w:r>
      <w:r w:rsidR="00B60B10" w:rsidRPr="00C94B85">
        <w:rPr>
          <w:rFonts w:asciiTheme="minorHAnsi" w:eastAsia="Verdana" w:hAnsiTheme="minorHAnsi" w:cs="Verdana"/>
          <w:color w:val="000000"/>
          <w:lang w:val="pt-PT"/>
        </w:rPr>
        <w:t xml:space="preserve">estado da </w:t>
      </w:r>
      <w:r w:rsidR="00B60B10">
        <w:rPr>
          <w:rFonts w:asciiTheme="minorHAnsi" w:eastAsia="Verdana" w:hAnsiTheme="minorHAnsi" w:cs="Verdana"/>
          <w:color w:val="000000"/>
          <w:lang w:val="pt-PT"/>
        </w:rPr>
        <w:t>técnica</w:t>
      </w:r>
      <w:r w:rsidR="00B60B10" w:rsidRPr="00C94B85">
        <w:rPr>
          <w:rFonts w:asciiTheme="minorHAnsi" w:eastAsia="Verdana" w:hAnsiTheme="minorHAnsi" w:cs="Verdana"/>
          <w:color w:val="000000"/>
          <w:lang w:val="pt-PT"/>
        </w:rPr>
        <w:t xml:space="preserve"> é essencial durante os processos de I&amp;D, uma vez que fornece uma base sólida para evitar I&amp;D redundante.</w:t>
      </w:r>
      <w:r w:rsidR="00B60B10">
        <w:rPr>
          <w:rFonts w:asciiTheme="minorHAnsi" w:eastAsia="Verdana" w:hAnsiTheme="minorHAnsi" w:cs="Verdana"/>
          <w:color w:val="000000"/>
          <w:lang w:val="pt-PT"/>
        </w:rPr>
        <w:t xml:space="preserve"> Atualmente estima-se que a nível europeu </w:t>
      </w:r>
      <w:r w:rsidR="00B60B10" w:rsidRPr="00C94B85">
        <w:rPr>
          <w:rFonts w:asciiTheme="minorHAnsi" w:eastAsia="Verdana" w:hAnsiTheme="minorHAnsi" w:cs="Verdana"/>
          <w:color w:val="000000"/>
          <w:lang w:val="pt-PT"/>
        </w:rPr>
        <w:t>se perdem 60 mil milhões de euros por ano</w:t>
      </w:r>
      <w:r w:rsidR="00B60B10">
        <w:rPr>
          <w:rFonts w:asciiTheme="minorHAnsi" w:eastAsia="Verdana" w:hAnsiTheme="minorHAnsi" w:cs="Verdana"/>
          <w:color w:val="000000"/>
          <w:lang w:val="pt-PT"/>
        </w:rPr>
        <w:t xml:space="preserve"> devido a investigação </w:t>
      </w:r>
      <w:r w:rsidRPr="00C94B85">
        <w:rPr>
          <w:rFonts w:asciiTheme="minorHAnsi" w:eastAsia="Verdana" w:hAnsiTheme="minorHAnsi" w:cs="Verdana"/>
          <w:color w:val="000000"/>
          <w:lang w:val="pt-PT"/>
        </w:rPr>
        <w:t>redundante.</w:t>
      </w:r>
    </w:p>
    <w:p w14:paraId="0D2D83C8" w14:textId="5C5EA785" w:rsidR="64EC3667" w:rsidRPr="00C94B85" w:rsidRDefault="64EC3667" w:rsidP="00C94B85">
      <w:pPr>
        <w:ind w:firstLine="0"/>
        <w:rPr>
          <w:rFonts w:asciiTheme="minorHAnsi" w:eastAsia="Verdana" w:hAnsiTheme="minorHAnsi" w:cs="Verdana"/>
          <w:color w:val="000000"/>
          <w:lang w:val="pt-PT"/>
        </w:rPr>
      </w:pPr>
      <w:r w:rsidRPr="00C94B85">
        <w:rPr>
          <w:rFonts w:asciiTheme="minorHAnsi" w:eastAsia="Verdana" w:hAnsiTheme="minorHAnsi" w:cs="Verdana"/>
          <w:color w:val="000000"/>
          <w:lang w:val="pt-PT"/>
        </w:rPr>
        <w:t xml:space="preserve">Para iniciar </w:t>
      </w:r>
      <w:r w:rsidRPr="00B60B10">
        <w:rPr>
          <w:rFonts w:asciiTheme="minorHAnsi" w:eastAsia="Verdana" w:hAnsiTheme="minorHAnsi" w:cs="Verdana"/>
          <w:color w:val="000000"/>
          <w:lang w:val="pt-PT"/>
        </w:rPr>
        <w:t xml:space="preserve">uma </w:t>
      </w:r>
      <w:r w:rsidRPr="00B60B10">
        <w:rPr>
          <w:rFonts w:asciiTheme="minorHAnsi" w:eastAsia="Verdana" w:hAnsiTheme="minorHAnsi" w:cs="Verdana"/>
          <w:b/>
          <w:bCs/>
          <w:color w:val="000000"/>
          <w:lang w:val="pt-PT"/>
        </w:rPr>
        <w:t xml:space="preserve">pesquisa do estado da </w:t>
      </w:r>
      <w:r w:rsidR="00B60B10" w:rsidRPr="00B60B10">
        <w:rPr>
          <w:rFonts w:asciiTheme="minorHAnsi" w:eastAsia="Verdana" w:hAnsiTheme="minorHAnsi" w:cs="Verdana"/>
          <w:b/>
          <w:bCs/>
          <w:color w:val="000000"/>
          <w:lang w:val="pt-PT"/>
        </w:rPr>
        <w:t>técnica</w:t>
      </w:r>
      <w:r w:rsidRPr="00B60B10">
        <w:rPr>
          <w:rFonts w:asciiTheme="minorHAnsi" w:eastAsia="Verdana" w:hAnsiTheme="minorHAnsi" w:cs="Verdana"/>
          <w:color w:val="000000"/>
          <w:lang w:val="pt-PT"/>
        </w:rPr>
        <w:t>,</w:t>
      </w:r>
      <w:r w:rsidRPr="00C94B85">
        <w:rPr>
          <w:rFonts w:asciiTheme="minorHAnsi" w:eastAsia="Verdana" w:hAnsiTheme="minorHAnsi" w:cs="Verdana"/>
          <w:b/>
          <w:bCs/>
          <w:color w:val="000000"/>
          <w:lang w:val="pt-PT"/>
        </w:rPr>
        <w:t xml:space="preserve"> </w:t>
      </w:r>
      <w:r w:rsidRPr="00C94B85">
        <w:rPr>
          <w:rFonts w:asciiTheme="minorHAnsi" w:eastAsia="Verdana" w:hAnsiTheme="minorHAnsi" w:cs="Verdana"/>
          <w:color w:val="000000"/>
          <w:lang w:val="pt-PT"/>
        </w:rPr>
        <w:t xml:space="preserve">é necessário identificar claramente a área de interesse sobre a qual a pesquisa deve ser </w:t>
      </w:r>
      <w:r w:rsidR="00B60B10" w:rsidRPr="00C94B85">
        <w:rPr>
          <w:rFonts w:asciiTheme="minorHAnsi" w:eastAsia="Verdana" w:hAnsiTheme="minorHAnsi" w:cs="Verdana"/>
          <w:color w:val="000000"/>
          <w:lang w:val="pt-PT"/>
        </w:rPr>
        <w:t>efetuada</w:t>
      </w:r>
      <w:r w:rsidRPr="00C94B85">
        <w:rPr>
          <w:rFonts w:asciiTheme="minorHAnsi" w:eastAsia="Verdana" w:hAnsiTheme="minorHAnsi" w:cs="Verdana"/>
          <w:color w:val="000000"/>
          <w:lang w:val="pt-PT"/>
        </w:rPr>
        <w:t xml:space="preserve">. </w:t>
      </w:r>
    </w:p>
    <w:p w14:paraId="18B2F85C" w14:textId="77777777" w:rsidR="00B60B10" w:rsidRDefault="00B60B10" w:rsidP="00C94B85">
      <w:pPr>
        <w:ind w:firstLine="0"/>
        <w:rPr>
          <w:rFonts w:asciiTheme="minorHAnsi" w:eastAsia="Verdana" w:hAnsiTheme="minorHAnsi" w:cs="Verdana"/>
          <w:color w:val="000000"/>
          <w:lang w:val="pt-PT"/>
        </w:rPr>
      </w:pPr>
    </w:p>
    <w:p w14:paraId="1FFE0E95" w14:textId="1EED8278" w:rsidR="64EC3667" w:rsidRPr="00C94B85" w:rsidRDefault="64EC3667" w:rsidP="00C94B85">
      <w:pPr>
        <w:ind w:firstLine="0"/>
        <w:rPr>
          <w:rFonts w:asciiTheme="minorHAnsi" w:eastAsia="Verdana" w:hAnsiTheme="minorHAnsi" w:cs="Verdana"/>
          <w:color w:val="000000"/>
          <w:lang w:val="pt-PT"/>
        </w:rPr>
      </w:pPr>
      <w:r w:rsidRPr="00C94B85">
        <w:rPr>
          <w:rFonts w:asciiTheme="minorHAnsi" w:eastAsia="Verdana" w:hAnsiTheme="minorHAnsi" w:cs="Verdana"/>
          <w:color w:val="000000"/>
          <w:lang w:val="pt-PT"/>
        </w:rPr>
        <w:lastRenderedPageBreak/>
        <w:t xml:space="preserve">As bases de dados públicas oficiais mais comuns que podem ser utilizadas para efetuar </w:t>
      </w:r>
      <w:r w:rsidR="00B60B10">
        <w:rPr>
          <w:rFonts w:asciiTheme="minorHAnsi" w:eastAsia="Verdana" w:hAnsiTheme="minorHAnsi" w:cs="Verdana"/>
          <w:color w:val="000000"/>
          <w:lang w:val="pt-PT"/>
        </w:rPr>
        <w:t>estas pesquisas</w:t>
      </w:r>
      <w:r w:rsidRPr="00C94B85">
        <w:rPr>
          <w:rFonts w:asciiTheme="minorHAnsi" w:eastAsia="Verdana" w:hAnsiTheme="minorHAnsi" w:cs="Verdana"/>
          <w:color w:val="000000"/>
          <w:lang w:val="pt-PT"/>
        </w:rPr>
        <w:t xml:space="preserve"> são</w:t>
      </w:r>
      <w:r w:rsidR="00B60B10">
        <w:rPr>
          <w:rFonts w:asciiTheme="minorHAnsi" w:eastAsia="Verdana" w:hAnsiTheme="minorHAnsi" w:cs="Verdana"/>
          <w:color w:val="000000"/>
          <w:lang w:val="pt-PT"/>
        </w:rPr>
        <w:t>:</w:t>
      </w:r>
    </w:p>
    <w:p w14:paraId="6EF3CC75" w14:textId="70B3B16F" w:rsidR="64EC3667" w:rsidRPr="00C94B85" w:rsidRDefault="64EC3667" w:rsidP="00C94B85">
      <w:pPr>
        <w:pStyle w:val="PargrafodaLista"/>
        <w:numPr>
          <w:ilvl w:val="1"/>
          <w:numId w:val="6"/>
        </w:numPr>
        <w:ind w:left="900" w:hanging="270"/>
        <w:jc w:val="left"/>
        <w:rPr>
          <w:rFonts w:asciiTheme="minorHAnsi" w:hAnsiTheme="minorHAnsi"/>
          <w:lang w:val="pt-PT"/>
        </w:rPr>
      </w:pPr>
      <w:r w:rsidRPr="00C94B85">
        <w:rPr>
          <w:rFonts w:asciiTheme="minorHAnsi" w:eastAsia="Verdana" w:hAnsiTheme="minorHAnsi" w:cs="Verdana"/>
          <w:lang w:val="pt-PT"/>
        </w:rPr>
        <w:t xml:space="preserve">IEP (Instituto Europeu de Patentes) </w:t>
      </w:r>
      <w:hyperlink r:id="rId27">
        <w:r w:rsidRPr="00C94B85">
          <w:rPr>
            <w:rStyle w:val="Hiperligao"/>
            <w:rFonts w:asciiTheme="minorHAnsi" w:eastAsia="Verdana" w:hAnsiTheme="minorHAnsi" w:cs="Verdana"/>
            <w:lang w:val="pt-PT"/>
          </w:rPr>
          <w:t>(https://www.epo.org</w:t>
        </w:r>
      </w:hyperlink>
      <w:r w:rsidRPr="00C94B85">
        <w:rPr>
          <w:rFonts w:asciiTheme="minorHAnsi" w:eastAsia="Verdana" w:hAnsiTheme="minorHAnsi" w:cs="Verdana"/>
          <w:lang w:val="pt-PT"/>
        </w:rPr>
        <w:t xml:space="preserve"> )</w:t>
      </w:r>
    </w:p>
    <w:p w14:paraId="7900DCFA" w14:textId="70139BE3" w:rsidR="64EC3667" w:rsidRPr="00C94B85" w:rsidRDefault="64EC3667" w:rsidP="00C94B85">
      <w:pPr>
        <w:pStyle w:val="PargrafodaLista"/>
        <w:numPr>
          <w:ilvl w:val="1"/>
          <w:numId w:val="6"/>
        </w:numPr>
        <w:ind w:left="900" w:hanging="270"/>
        <w:jc w:val="left"/>
        <w:rPr>
          <w:rFonts w:asciiTheme="minorHAnsi" w:hAnsiTheme="minorHAnsi"/>
          <w:lang w:val="pt-PT"/>
        </w:rPr>
      </w:pPr>
      <w:proofErr w:type="spellStart"/>
      <w:r w:rsidRPr="00C94B85">
        <w:rPr>
          <w:rFonts w:asciiTheme="minorHAnsi" w:eastAsia="Verdana" w:hAnsiTheme="minorHAnsi" w:cs="Verdana"/>
          <w:lang w:val="pt-PT"/>
        </w:rPr>
        <w:t>Patentscope</w:t>
      </w:r>
      <w:proofErr w:type="spellEnd"/>
      <w:r w:rsidRPr="00C94B85">
        <w:rPr>
          <w:rFonts w:asciiTheme="minorHAnsi" w:eastAsia="Verdana" w:hAnsiTheme="minorHAnsi" w:cs="Verdana"/>
          <w:lang w:val="pt-PT"/>
        </w:rPr>
        <w:t xml:space="preserve"> (OMPI) </w:t>
      </w:r>
      <w:hyperlink r:id="rId28">
        <w:r w:rsidRPr="00C94B85">
          <w:rPr>
            <w:rStyle w:val="Hiperligao"/>
            <w:rFonts w:asciiTheme="minorHAnsi" w:eastAsia="Verdana" w:hAnsiTheme="minorHAnsi" w:cs="Verdana"/>
            <w:lang w:val="pt-PT"/>
          </w:rPr>
          <w:t>(https://patentscope.wipo.int</w:t>
        </w:r>
      </w:hyperlink>
      <w:r w:rsidRPr="00C94B85">
        <w:rPr>
          <w:rFonts w:asciiTheme="minorHAnsi" w:eastAsia="Verdana" w:hAnsiTheme="minorHAnsi" w:cs="Verdana"/>
          <w:lang w:val="pt-PT"/>
        </w:rPr>
        <w:t xml:space="preserve"> )</w:t>
      </w:r>
    </w:p>
    <w:p w14:paraId="4805EEA8" w14:textId="76B090FD" w:rsidR="64EC3667" w:rsidRPr="00BB49FE" w:rsidRDefault="64EC3667" w:rsidP="00C94B85">
      <w:pPr>
        <w:pStyle w:val="PargrafodaLista"/>
        <w:numPr>
          <w:ilvl w:val="1"/>
          <w:numId w:val="6"/>
        </w:numPr>
        <w:ind w:left="900" w:hanging="270"/>
        <w:jc w:val="left"/>
        <w:rPr>
          <w:rFonts w:asciiTheme="minorHAnsi" w:hAnsiTheme="minorHAnsi"/>
        </w:rPr>
      </w:pPr>
      <w:proofErr w:type="spellStart"/>
      <w:r w:rsidRPr="00BB49FE">
        <w:rPr>
          <w:rFonts w:asciiTheme="minorHAnsi" w:eastAsia="Verdana" w:hAnsiTheme="minorHAnsi" w:cs="Verdana"/>
        </w:rPr>
        <w:t>Espacenet</w:t>
      </w:r>
      <w:proofErr w:type="spellEnd"/>
      <w:r w:rsidRPr="00BB49FE">
        <w:rPr>
          <w:rFonts w:asciiTheme="minorHAnsi" w:eastAsia="Verdana" w:hAnsiTheme="minorHAnsi" w:cs="Verdana"/>
        </w:rPr>
        <w:t xml:space="preserve"> </w:t>
      </w:r>
      <w:hyperlink r:id="rId29">
        <w:r w:rsidRPr="00BB49FE">
          <w:rPr>
            <w:rStyle w:val="Hiperligao"/>
            <w:rFonts w:asciiTheme="minorHAnsi" w:eastAsia="Verdana" w:hAnsiTheme="minorHAnsi" w:cs="Verdana"/>
          </w:rPr>
          <w:t>(https://worldwide.espacenet.com</w:t>
        </w:r>
      </w:hyperlink>
      <w:r w:rsidRPr="00BB49FE">
        <w:rPr>
          <w:rFonts w:asciiTheme="minorHAnsi" w:eastAsia="Verdana" w:hAnsiTheme="minorHAnsi" w:cs="Verdana"/>
        </w:rPr>
        <w:t xml:space="preserve"> )</w:t>
      </w:r>
    </w:p>
    <w:p w14:paraId="2FF8A2A5" w14:textId="6D63C4CD" w:rsidR="64EC3667" w:rsidRPr="00C94B85" w:rsidRDefault="64EC3667" w:rsidP="00C94B85">
      <w:pPr>
        <w:pStyle w:val="PargrafodaLista"/>
        <w:numPr>
          <w:ilvl w:val="1"/>
          <w:numId w:val="6"/>
        </w:numPr>
        <w:ind w:left="900" w:hanging="270"/>
        <w:jc w:val="left"/>
        <w:rPr>
          <w:rFonts w:asciiTheme="minorHAnsi" w:hAnsiTheme="minorHAnsi"/>
          <w:lang w:val="pt-PT"/>
        </w:rPr>
      </w:pPr>
      <w:r w:rsidRPr="00C94B85">
        <w:rPr>
          <w:rFonts w:asciiTheme="minorHAnsi" w:eastAsia="Verdana" w:hAnsiTheme="minorHAnsi" w:cs="Verdana"/>
          <w:lang w:val="pt-PT"/>
        </w:rPr>
        <w:t xml:space="preserve">USPTO (Instituto de Patentes e Marcas dos Estados Unidos) </w:t>
      </w:r>
      <w:hyperlink r:id="rId30">
        <w:r w:rsidRPr="00C94B85">
          <w:rPr>
            <w:rStyle w:val="Hiperligao"/>
            <w:rFonts w:asciiTheme="minorHAnsi" w:eastAsia="Verdana" w:hAnsiTheme="minorHAnsi" w:cs="Verdana"/>
            <w:lang w:val="pt-PT"/>
          </w:rPr>
          <w:t>(https://www.uspto.gov/patents-application-process/search-patents</w:t>
        </w:r>
      </w:hyperlink>
      <w:r w:rsidRPr="00C94B85">
        <w:rPr>
          <w:rFonts w:asciiTheme="minorHAnsi" w:eastAsia="Verdana" w:hAnsiTheme="minorHAnsi" w:cs="Verdana"/>
          <w:lang w:val="pt-PT"/>
        </w:rPr>
        <w:t xml:space="preserve"> )</w:t>
      </w:r>
    </w:p>
    <w:p w14:paraId="49252376" w14:textId="77777777" w:rsidR="00B60B10" w:rsidRPr="00B60B10" w:rsidRDefault="00B60B10" w:rsidP="00C94B85">
      <w:pPr>
        <w:ind w:firstLine="0"/>
        <w:rPr>
          <w:rFonts w:asciiTheme="minorHAnsi" w:eastAsia="Verdana" w:hAnsiTheme="minorHAnsi" w:cs="Verdana"/>
          <w:color w:val="000000"/>
          <w:sz w:val="10"/>
          <w:szCs w:val="10"/>
          <w:lang w:val="pt-PT"/>
        </w:rPr>
      </w:pPr>
    </w:p>
    <w:p w14:paraId="2220E18E" w14:textId="7BDD970A" w:rsidR="64EC3667" w:rsidRPr="00C94B85" w:rsidRDefault="64EC3667" w:rsidP="00C94B85">
      <w:pPr>
        <w:ind w:firstLine="0"/>
        <w:rPr>
          <w:rFonts w:asciiTheme="minorHAnsi" w:eastAsia="Verdana" w:hAnsiTheme="minorHAnsi" w:cs="Verdana"/>
          <w:color w:val="000000"/>
          <w:lang w:val="pt-PT"/>
        </w:rPr>
      </w:pPr>
      <w:r w:rsidRPr="00C94B85">
        <w:rPr>
          <w:rFonts w:asciiTheme="minorHAnsi" w:eastAsia="Verdana" w:hAnsiTheme="minorHAnsi" w:cs="Verdana"/>
          <w:color w:val="000000"/>
          <w:lang w:val="pt-PT"/>
        </w:rPr>
        <w:t xml:space="preserve">A pesquisa deve ser </w:t>
      </w:r>
      <w:r w:rsidR="00B60B10" w:rsidRPr="00C94B85">
        <w:rPr>
          <w:rFonts w:asciiTheme="minorHAnsi" w:eastAsia="Verdana" w:hAnsiTheme="minorHAnsi" w:cs="Verdana"/>
          <w:color w:val="000000"/>
          <w:lang w:val="pt-PT"/>
        </w:rPr>
        <w:t>efetuada</w:t>
      </w:r>
      <w:r w:rsidRPr="00C94B85">
        <w:rPr>
          <w:rFonts w:asciiTheme="minorHAnsi" w:eastAsia="Verdana" w:hAnsiTheme="minorHAnsi" w:cs="Verdana"/>
          <w:color w:val="000000"/>
          <w:lang w:val="pt-PT"/>
        </w:rPr>
        <w:t xml:space="preserve"> utilizando </w:t>
      </w:r>
      <w:r w:rsidRPr="00261575">
        <w:rPr>
          <w:rFonts w:asciiTheme="minorHAnsi" w:eastAsia="Verdana" w:hAnsiTheme="minorHAnsi" w:cs="Verdana"/>
          <w:color w:val="3CC4A4"/>
          <w:lang w:val="pt-PT"/>
        </w:rPr>
        <w:t>palavras-chave</w:t>
      </w:r>
      <w:r w:rsidRPr="00261575">
        <w:rPr>
          <w:rFonts w:asciiTheme="minorHAnsi" w:eastAsia="Verdana" w:hAnsiTheme="minorHAnsi" w:cs="Verdana"/>
          <w:b/>
          <w:bCs/>
          <w:color w:val="3CC4A4"/>
          <w:lang w:val="pt-PT"/>
        </w:rPr>
        <w:t xml:space="preserve"> </w:t>
      </w:r>
      <w:r w:rsidRPr="00C94B85">
        <w:rPr>
          <w:rFonts w:asciiTheme="minorHAnsi" w:eastAsia="Verdana" w:hAnsiTheme="minorHAnsi" w:cs="Verdana"/>
          <w:color w:val="000000"/>
          <w:lang w:val="pt-PT"/>
        </w:rPr>
        <w:t xml:space="preserve">relacionadas com </w:t>
      </w:r>
      <w:r w:rsidR="00B60B10">
        <w:rPr>
          <w:rFonts w:asciiTheme="minorHAnsi" w:eastAsia="Verdana" w:hAnsiTheme="minorHAnsi" w:cs="Verdana"/>
          <w:color w:val="000000"/>
          <w:lang w:val="pt-PT"/>
        </w:rPr>
        <w:t xml:space="preserve">a tecnologia em análise, que podem estar referenciadas em documentos técnicos relevantes (patentes ou pedidos de patente), no </w:t>
      </w:r>
      <w:r w:rsidRPr="00C94B85">
        <w:rPr>
          <w:rFonts w:asciiTheme="minorHAnsi" w:eastAsia="Verdana" w:hAnsiTheme="minorHAnsi" w:cs="Verdana"/>
          <w:color w:val="000000"/>
          <w:lang w:val="pt-PT"/>
        </w:rPr>
        <w:t>título, resumo, descrição</w:t>
      </w:r>
      <w:r w:rsidR="00B60B10">
        <w:rPr>
          <w:rFonts w:asciiTheme="minorHAnsi" w:eastAsia="Verdana" w:hAnsiTheme="minorHAnsi" w:cs="Verdana"/>
          <w:color w:val="000000"/>
          <w:lang w:val="pt-PT"/>
        </w:rPr>
        <w:t xml:space="preserve"> ou</w:t>
      </w:r>
      <w:r w:rsidRPr="00C94B85">
        <w:rPr>
          <w:rFonts w:asciiTheme="minorHAnsi" w:eastAsia="Verdana" w:hAnsiTheme="minorHAnsi" w:cs="Verdana"/>
          <w:color w:val="000000"/>
          <w:lang w:val="pt-PT"/>
        </w:rPr>
        <w:t xml:space="preserve"> reivindicações</w:t>
      </w:r>
      <w:r w:rsidR="00B60B10">
        <w:rPr>
          <w:rFonts w:asciiTheme="minorHAnsi" w:eastAsia="Verdana" w:hAnsiTheme="minorHAnsi" w:cs="Verdana"/>
          <w:color w:val="000000"/>
          <w:lang w:val="pt-PT"/>
        </w:rPr>
        <w:t xml:space="preserve">. Na estratégia de pesquisa devem ser </w:t>
      </w:r>
      <w:r w:rsidRPr="00C94B85">
        <w:rPr>
          <w:rFonts w:asciiTheme="minorHAnsi" w:eastAsia="Verdana" w:hAnsiTheme="minorHAnsi" w:cs="Verdana"/>
          <w:color w:val="000000"/>
          <w:lang w:val="pt-PT"/>
        </w:rPr>
        <w:t>considerados sinónimos ou equivalentes</w:t>
      </w:r>
      <w:r w:rsidR="00B60B10">
        <w:rPr>
          <w:rFonts w:asciiTheme="minorHAnsi" w:eastAsia="Verdana" w:hAnsiTheme="minorHAnsi" w:cs="Verdana"/>
          <w:color w:val="000000"/>
          <w:lang w:val="pt-PT"/>
        </w:rPr>
        <w:t>, podendo-se</w:t>
      </w:r>
      <w:r w:rsidRPr="00C94B85">
        <w:rPr>
          <w:rFonts w:asciiTheme="minorHAnsi" w:eastAsia="Verdana" w:hAnsiTheme="minorHAnsi" w:cs="Verdana"/>
          <w:color w:val="000000"/>
          <w:lang w:val="pt-PT"/>
        </w:rPr>
        <w:t xml:space="preserve"> utiliza</w:t>
      </w:r>
      <w:r w:rsidR="00B60B10">
        <w:rPr>
          <w:rFonts w:asciiTheme="minorHAnsi" w:eastAsia="Verdana" w:hAnsiTheme="minorHAnsi" w:cs="Verdana"/>
          <w:color w:val="000000"/>
          <w:lang w:val="pt-PT"/>
        </w:rPr>
        <w:t>r</w:t>
      </w:r>
      <w:r w:rsidRPr="00C94B85">
        <w:rPr>
          <w:rFonts w:asciiTheme="minorHAnsi" w:eastAsia="Verdana" w:hAnsiTheme="minorHAnsi" w:cs="Verdana"/>
          <w:color w:val="000000"/>
          <w:lang w:val="pt-PT"/>
        </w:rPr>
        <w:t xml:space="preserve"> operadores booleanos (AND, OR, NOT) para refinar os resultados.</w:t>
      </w:r>
    </w:p>
    <w:p w14:paraId="723C184C" w14:textId="18679535" w:rsidR="64EC3667" w:rsidRPr="00C94B85" w:rsidRDefault="00B60B10" w:rsidP="00C94B85">
      <w:pPr>
        <w:ind w:firstLine="0"/>
        <w:rPr>
          <w:rFonts w:asciiTheme="minorHAnsi" w:eastAsia="Verdana" w:hAnsiTheme="minorHAnsi" w:cs="Verdana"/>
          <w:color w:val="000000"/>
          <w:lang w:val="pt-PT"/>
        </w:rPr>
      </w:pPr>
      <w:r>
        <w:rPr>
          <w:rFonts w:asciiTheme="minorHAnsi" w:eastAsia="Verdana" w:hAnsiTheme="minorHAnsi" w:cs="Verdana"/>
          <w:color w:val="000000"/>
          <w:lang w:val="pt-PT"/>
        </w:rPr>
        <w:t xml:space="preserve">Adicionalmente, é </w:t>
      </w:r>
      <w:r w:rsidR="64EC3667" w:rsidRPr="00C94B85">
        <w:rPr>
          <w:rFonts w:asciiTheme="minorHAnsi" w:eastAsia="Verdana" w:hAnsiTheme="minorHAnsi" w:cs="Verdana"/>
          <w:color w:val="000000"/>
          <w:lang w:val="pt-PT"/>
        </w:rPr>
        <w:t xml:space="preserve">muito importante utilizar os </w:t>
      </w:r>
      <w:r w:rsidR="64EC3667" w:rsidRPr="00261575">
        <w:rPr>
          <w:rFonts w:asciiTheme="minorHAnsi" w:eastAsia="Verdana" w:hAnsiTheme="minorHAnsi" w:cs="Verdana"/>
          <w:color w:val="3CC4A4"/>
          <w:lang w:val="pt-PT"/>
        </w:rPr>
        <w:t>códigos de classificação internacional</w:t>
      </w:r>
      <w:r w:rsidR="64EC3667" w:rsidRPr="00261575">
        <w:rPr>
          <w:rFonts w:asciiTheme="minorHAnsi" w:eastAsia="Verdana" w:hAnsiTheme="minorHAnsi" w:cs="Verdana"/>
          <w:b/>
          <w:bCs/>
          <w:color w:val="3CC4A4"/>
          <w:lang w:val="pt-PT"/>
        </w:rPr>
        <w:t xml:space="preserve"> </w:t>
      </w:r>
      <w:r w:rsidR="64EC3667" w:rsidRPr="00C94B85">
        <w:rPr>
          <w:rFonts w:asciiTheme="minorHAnsi" w:eastAsia="Verdana" w:hAnsiTheme="minorHAnsi" w:cs="Verdana"/>
          <w:color w:val="000000"/>
          <w:lang w:val="pt-PT"/>
        </w:rPr>
        <w:t>(IPC-CPC) que agrupam os documentos de patentes em subgrupos, dividindo o conhecimento tecnológico em nove (9) áreas principais (secções):</w:t>
      </w:r>
    </w:p>
    <w:p w14:paraId="70B99745" w14:textId="564CF11E" w:rsidR="64EC3667" w:rsidRPr="00C94B85" w:rsidRDefault="64EC3667" w:rsidP="00C94B85">
      <w:pPr>
        <w:pStyle w:val="PargrafodaLista"/>
        <w:numPr>
          <w:ilvl w:val="1"/>
          <w:numId w:val="5"/>
        </w:numPr>
        <w:ind w:left="900" w:hanging="270"/>
        <w:rPr>
          <w:rFonts w:asciiTheme="minorHAnsi" w:hAnsiTheme="minorHAnsi"/>
          <w:lang w:val="pt-PT"/>
        </w:rPr>
      </w:pPr>
      <w:r w:rsidRPr="00C94B85">
        <w:rPr>
          <w:rFonts w:asciiTheme="minorHAnsi" w:eastAsia="Verdana" w:hAnsiTheme="minorHAnsi" w:cs="Verdana"/>
          <w:lang w:val="pt-PT"/>
        </w:rPr>
        <w:t xml:space="preserve">Secção A - Necessidades humanas </w:t>
      </w:r>
    </w:p>
    <w:p w14:paraId="119D368A" w14:textId="1BD73E83" w:rsidR="64EC3667" w:rsidRPr="00C94B85" w:rsidRDefault="64EC3667" w:rsidP="00C94B85">
      <w:pPr>
        <w:pStyle w:val="PargrafodaLista"/>
        <w:numPr>
          <w:ilvl w:val="1"/>
          <w:numId w:val="5"/>
        </w:numPr>
        <w:ind w:left="900" w:hanging="270"/>
        <w:rPr>
          <w:rFonts w:asciiTheme="minorHAnsi" w:hAnsiTheme="minorHAnsi"/>
          <w:lang w:val="pt-PT"/>
        </w:rPr>
      </w:pPr>
      <w:r w:rsidRPr="00C94B85">
        <w:rPr>
          <w:rFonts w:asciiTheme="minorHAnsi" w:eastAsia="Verdana" w:hAnsiTheme="minorHAnsi" w:cs="Verdana"/>
          <w:lang w:val="pt-PT"/>
        </w:rPr>
        <w:t xml:space="preserve">Secção B - Operações de transformação; Transporte </w:t>
      </w:r>
    </w:p>
    <w:p w14:paraId="6957322D" w14:textId="5DFF250F" w:rsidR="64EC3667" w:rsidRPr="00C94B85" w:rsidRDefault="64EC3667" w:rsidP="00C94B85">
      <w:pPr>
        <w:pStyle w:val="PargrafodaLista"/>
        <w:numPr>
          <w:ilvl w:val="1"/>
          <w:numId w:val="5"/>
        </w:numPr>
        <w:ind w:left="900" w:hanging="270"/>
        <w:rPr>
          <w:rFonts w:asciiTheme="minorHAnsi" w:hAnsiTheme="minorHAnsi"/>
          <w:lang w:val="pt-PT"/>
        </w:rPr>
      </w:pPr>
      <w:r w:rsidRPr="00C94B85">
        <w:rPr>
          <w:rFonts w:asciiTheme="minorHAnsi" w:eastAsia="Verdana" w:hAnsiTheme="minorHAnsi" w:cs="Verdana"/>
          <w:lang w:val="pt-PT"/>
        </w:rPr>
        <w:t xml:space="preserve">Secção C - Química e metalurgia </w:t>
      </w:r>
    </w:p>
    <w:p w14:paraId="0490F500" w14:textId="7E8B5D83" w:rsidR="64EC3667" w:rsidRPr="00C94B85" w:rsidRDefault="64EC3667" w:rsidP="00C94B85">
      <w:pPr>
        <w:pStyle w:val="PargrafodaLista"/>
        <w:numPr>
          <w:ilvl w:val="1"/>
          <w:numId w:val="5"/>
        </w:numPr>
        <w:ind w:left="900" w:hanging="270"/>
        <w:rPr>
          <w:rFonts w:asciiTheme="minorHAnsi" w:hAnsiTheme="minorHAnsi"/>
          <w:lang w:val="pt-PT"/>
        </w:rPr>
      </w:pPr>
      <w:r w:rsidRPr="00C94B85">
        <w:rPr>
          <w:rFonts w:asciiTheme="minorHAnsi" w:eastAsia="Verdana" w:hAnsiTheme="minorHAnsi" w:cs="Verdana"/>
          <w:lang w:val="pt-PT"/>
        </w:rPr>
        <w:t xml:space="preserve">Secção D - Têxteis e papel </w:t>
      </w:r>
    </w:p>
    <w:p w14:paraId="461DABF7" w14:textId="29CCD6EA" w:rsidR="64EC3667" w:rsidRPr="00C94B85" w:rsidRDefault="64EC3667" w:rsidP="00C94B85">
      <w:pPr>
        <w:pStyle w:val="PargrafodaLista"/>
        <w:numPr>
          <w:ilvl w:val="1"/>
          <w:numId w:val="5"/>
        </w:numPr>
        <w:ind w:left="900" w:hanging="270"/>
        <w:rPr>
          <w:rFonts w:asciiTheme="minorHAnsi" w:hAnsiTheme="minorHAnsi"/>
          <w:lang w:val="pt-PT"/>
        </w:rPr>
      </w:pPr>
      <w:r w:rsidRPr="00C94B85">
        <w:rPr>
          <w:rFonts w:asciiTheme="minorHAnsi" w:eastAsia="Verdana" w:hAnsiTheme="minorHAnsi" w:cs="Verdana"/>
          <w:lang w:val="pt-PT"/>
        </w:rPr>
        <w:t xml:space="preserve">Secção E - Construções fixas </w:t>
      </w:r>
    </w:p>
    <w:p w14:paraId="6DD1A9B2" w14:textId="61ED2E81" w:rsidR="64EC3667" w:rsidRPr="00C94B85" w:rsidRDefault="64EC3667" w:rsidP="00C94B85">
      <w:pPr>
        <w:pStyle w:val="PargrafodaLista"/>
        <w:numPr>
          <w:ilvl w:val="1"/>
          <w:numId w:val="5"/>
        </w:numPr>
        <w:ind w:left="900" w:hanging="270"/>
        <w:rPr>
          <w:rFonts w:asciiTheme="minorHAnsi" w:hAnsiTheme="minorHAnsi"/>
          <w:lang w:val="pt-PT"/>
        </w:rPr>
      </w:pPr>
      <w:r w:rsidRPr="00C94B85">
        <w:rPr>
          <w:rFonts w:asciiTheme="minorHAnsi" w:eastAsia="Verdana" w:hAnsiTheme="minorHAnsi" w:cs="Verdana"/>
          <w:lang w:val="pt-PT"/>
        </w:rPr>
        <w:t xml:space="preserve">Secção F - Construção mecânica; Iluminação; Iluminação; Aquecimento; Armas; Explosão; Explosão </w:t>
      </w:r>
    </w:p>
    <w:p w14:paraId="17E483B1" w14:textId="29A48C06" w:rsidR="64EC3667" w:rsidRPr="00C94B85" w:rsidRDefault="64EC3667" w:rsidP="00C94B85">
      <w:pPr>
        <w:pStyle w:val="PargrafodaLista"/>
        <w:numPr>
          <w:ilvl w:val="1"/>
          <w:numId w:val="5"/>
        </w:numPr>
        <w:ind w:left="900" w:hanging="270"/>
        <w:rPr>
          <w:rFonts w:asciiTheme="minorHAnsi" w:hAnsiTheme="minorHAnsi"/>
          <w:lang w:val="pt-PT"/>
        </w:rPr>
      </w:pPr>
      <w:r w:rsidRPr="00C94B85">
        <w:rPr>
          <w:rFonts w:asciiTheme="minorHAnsi" w:eastAsia="Verdana" w:hAnsiTheme="minorHAnsi" w:cs="Verdana"/>
          <w:lang w:val="pt-PT"/>
        </w:rPr>
        <w:t xml:space="preserve">Secção G - Física </w:t>
      </w:r>
    </w:p>
    <w:p w14:paraId="424D6483" w14:textId="0E4F8CD5" w:rsidR="64EC3667" w:rsidRPr="00C94B85" w:rsidRDefault="64EC3667" w:rsidP="00C94B85">
      <w:pPr>
        <w:pStyle w:val="PargrafodaLista"/>
        <w:numPr>
          <w:ilvl w:val="1"/>
          <w:numId w:val="5"/>
        </w:numPr>
        <w:ind w:left="900" w:hanging="270"/>
        <w:rPr>
          <w:rFonts w:asciiTheme="minorHAnsi" w:hAnsiTheme="minorHAnsi"/>
          <w:lang w:val="pt-PT"/>
        </w:rPr>
      </w:pPr>
      <w:r w:rsidRPr="00C94B85">
        <w:rPr>
          <w:rFonts w:asciiTheme="minorHAnsi" w:eastAsia="Verdana" w:hAnsiTheme="minorHAnsi" w:cs="Verdana"/>
          <w:lang w:val="pt-PT"/>
        </w:rPr>
        <w:t xml:space="preserve">Secção H - Eletricidade </w:t>
      </w:r>
    </w:p>
    <w:p w14:paraId="0D818A23" w14:textId="2B9345A1" w:rsidR="64EC3667" w:rsidRPr="00C94B85" w:rsidRDefault="64EC3667" w:rsidP="00C94B85">
      <w:pPr>
        <w:pStyle w:val="PargrafodaLista"/>
        <w:numPr>
          <w:ilvl w:val="1"/>
          <w:numId w:val="5"/>
        </w:numPr>
        <w:ind w:left="900" w:hanging="270"/>
        <w:rPr>
          <w:rFonts w:asciiTheme="minorHAnsi" w:hAnsiTheme="minorHAnsi"/>
          <w:lang w:val="pt-PT"/>
        </w:rPr>
      </w:pPr>
      <w:r w:rsidRPr="00C94B85">
        <w:rPr>
          <w:rFonts w:asciiTheme="minorHAnsi" w:eastAsia="Verdana" w:hAnsiTheme="minorHAnsi" w:cs="Verdana"/>
          <w:lang w:val="pt-PT"/>
        </w:rPr>
        <w:t>Secção Y - Novos desenvolvimentos tecnológicos</w:t>
      </w:r>
    </w:p>
    <w:p w14:paraId="23D357F6" w14:textId="7CD06823" w:rsidR="4C528AD0" w:rsidRPr="00B60B10" w:rsidRDefault="4C528AD0" w:rsidP="00C94B85">
      <w:pPr>
        <w:rPr>
          <w:rFonts w:asciiTheme="minorHAnsi" w:eastAsia="Verdana" w:hAnsiTheme="minorHAnsi" w:cs="Verdana"/>
          <w:color w:val="000000"/>
          <w:sz w:val="10"/>
          <w:szCs w:val="10"/>
          <w:lang w:val="pt-PT"/>
        </w:rPr>
      </w:pPr>
    </w:p>
    <w:p w14:paraId="14DDE553" w14:textId="4360CB2F" w:rsidR="64EC3667" w:rsidRPr="00C94B85" w:rsidRDefault="64EC3667" w:rsidP="00C94B85">
      <w:pPr>
        <w:ind w:firstLine="0"/>
        <w:rPr>
          <w:rFonts w:asciiTheme="minorHAnsi" w:eastAsia="Verdana" w:hAnsiTheme="minorHAnsi" w:cs="Verdana"/>
          <w:color w:val="000000"/>
          <w:lang w:val="pt-PT"/>
        </w:rPr>
      </w:pPr>
      <w:r w:rsidRPr="00C94B85">
        <w:rPr>
          <w:rFonts w:asciiTheme="minorHAnsi" w:eastAsia="Verdana" w:hAnsiTheme="minorHAnsi" w:cs="Verdana"/>
          <w:color w:val="000000"/>
          <w:lang w:val="pt-PT"/>
        </w:rPr>
        <w:t>Uma vez obtidos os resultados da pesquisa, os resultados devem ser filtrados através da análise dos títulos e resumos das patentes para determinar a sua relevância e proximidade com o nosso desenvolvimento, descartando as patentes que não são relevantes.</w:t>
      </w:r>
    </w:p>
    <w:p w14:paraId="2FB4CCA0" w14:textId="5E6194DE" w:rsidR="64EC3667" w:rsidRPr="00C94B85" w:rsidRDefault="64EC3667" w:rsidP="00C94B85">
      <w:pPr>
        <w:ind w:firstLine="0"/>
        <w:rPr>
          <w:rFonts w:asciiTheme="minorHAnsi" w:eastAsia="Verdana" w:hAnsiTheme="minorHAnsi" w:cs="Verdana"/>
          <w:color w:val="000000"/>
          <w:lang w:val="pt-PT"/>
        </w:rPr>
      </w:pPr>
      <w:r w:rsidRPr="00C94B85">
        <w:rPr>
          <w:rFonts w:asciiTheme="minorHAnsi" w:eastAsia="Verdana" w:hAnsiTheme="minorHAnsi" w:cs="Verdana"/>
          <w:color w:val="000000"/>
          <w:lang w:val="pt-PT"/>
        </w:rPr>
        <w:t xml:space="preserve">Na </w:t>
      </w:r>
      <w:r w:rsidRPr="00C94B85">
        <w:rPr>
          <w:rFonts w:asciiTheme="minorHAnsi" w:eastAsia="Verdana" w:hAnsiTheme="minorHAnsi" w:cs="Verdana"/>
          <w:b/>
          <w:bCs/>
          <w:color w:val="000000"/>
          <w:lang w:val="pt-PT"/>
        </w:rPr>
        <w:t>filtragem da informação</w:t>
      </w:r>
      <w:r w:rsidRPr="00C94B85">
        <w:rPr>
          <w:rFonts w:asciiTheme="minorHAnsi" w:eastAsia="Verdana" w:hAnsiTheme="minorHAnsi" w:cs="Verdana"/>
          <w:color w:val="000000"/>
          <w:lang w:val="pt-PT"/>
        </w:rPr>
        <w:t xml:space="preserve">, pode ser útil rever as patentes citadas para determinar as que podem estar relacionadas com o </w:t>
      </w:r>
      <w:r w:rsidR="00B60B10" w:rsidRPr="00C94B85">
        <w:rPr>
          <w:rFonts w:asciiTheme="minorHAnsi" w:eastAsia="Verdana" w:hAnsiTheme="minorHAnsi" w:cs="Verdana"/>
          <w:color w:val="000000"/>
          <w:lang w:val="pt-PT"/>
        </w:rPr>
        <w:t xml:space="preserve">estado da </w:t>
      </w:r>
      <w:r w:rsidR="00B60B10">
        <w:rPr>
          <w:rFonts w:asciiTheme="minorHAnsi" w:eastAsia="Verdana" w:hAnsiTheme="minorHAnsi" w:cs="Verdana"/>
          <w:color w:val="000000"/>
          <w:lang w:val="pt-PT"/>
        </w:rPr>
        <w:t>técnica</w:t>
      </w:r>
      <w:r w:rsidRPr="00C94B85">
        <w:rPr>
          <w:rFonts w:asciiTheme="minorHAnsi" w:eastAsia="Verdana" w:hAnsiTheme="minorHAnsi" w:cs="Verdana"/>
          <w:color w:val="000000"/>
          <w:lang w:val="pt-PT"/>
        </w:rPr>
        <w:t>.</w:t>
      </w:r>
    </w:p>
    <w:p w14:paraId="73A98D7A" w14:textId="1339AF24" w:rsidR="64EC3667" w:rsidRPr="00C94B85" w:rsidRDefault="64EC3667" w:rsidP="00C94B85">
      <w:pPr>
        <w:ind w:firstLine="0"/>
        <w:rPr>
          <w:rFonts w:asciiTheme="minorHAnsi" w:eastAsia="Verdana" w:hAnsiTheme="minorHAnsi" w:cs="Verdana"/>
          <w:color w:val="000000"/>
          <w:lang w:val="pt-PT"/>
        </w:rPr>
      </w:pPr>
      <w:r w:rsidRPr="00C94B85">
        <w:rPr>
          <w:rFonts w:asciiTheme="minorHAnsi" w:eastAsia="Verdana" w:hAnsiTheme="minorHAnsi" w:cs="Verdana"/>
          <w:color w:val="000000"/>
          <w:lang w:val="pt-PT"/>
        </w:rPr>
        <w:lastRenderedPageBreak/>
        <w:t xml:space="preserve">As informações que a pesquisa do estado da </w:t>
      </w:r>
      <w:r w:rsidR="00B60B10">
        <w:rPr>
          <w:rFonts w:asciiTheme="minorHAnsi" w:eastAsia="Verdana" w:hAnsiTheme="minorHAnsi" w:cs="Verdana"/>
          <w:color w:val="000000"/>
          <w:lang w:val="pt-PT"/>
        </w:rPr>
        <w:t>técnica</w:t>
      </w:r>
      <w:r w:rsidRPr="00C94B85">
        <w:rPr>
          <w:rFonts w:asciiTheme="minorHAnsi" w:eastAsia="Verdana" w:hAnsiTheme="minorHAnsi" w:cs="Verdana"/>
          <w:color w:val="000000"/>
          <w:lang w:val="pt-PT"/>
        </w:rPr>
        <w:t xml:space="preserve"> consegue identificar referem-se a:</w:t>
      </w:r>
    </w:p>
    <w:p w14:paraId="2ABB35EB" w14:textId="11C38BB2" w:rsidR="64EC3667" w:rsidRPr="00C94B85" w:rsidRDefault="64EC3667" w:rsidP="00C94B85">
      <w:pPr>
        <w:pStyle w:val="PargrafodaLista"/>
        <w:numPr>
          <w:ilvl w:val="1"/>
          <w:numId w:val="7"/>
        </w:numPr>
        <w:ind w:left="810" w:hanging="450"/>
        <w:rPr>
          <w:rFonts w:asciiTheme="minorHAnsi" w:hAnsiTheme="minorHAnsi"/>
          <w:lang w:val="pt-PT"/>
        </w:rPr>
      </w:pPr>
      <w:r w:rsidRPr="00C94B85">
        <w:rPr>
          <w:rFonts w:asciiTheme="minorHAnsi" w:eastAsia="Verdana" w:hAnsiTheme="minorHAnsi" w:cs="Verdana"/>
          <w:lang w:val="pt-PT"/>
        </w:rPr>
        <w:t>A evolução da</w:t>
      </w:r>
      <w:r w:rsidR="001B64D2">
        <w:rPr>
          <w:rFonts w:asciiTheme="minorHAnsi" w:eastAsia="Verdana" w:hAnsiTheme="minorHAnsi" w:cs="Verdana"/>
          <w:lang w:val="pt-PT"/>
        </w:rPr>
        <w:t xml:space="preserve"> área</w:t>
      </w:r>
      <w:r w:rsidRPr="00C94B85">
        <w:rPr>
          <w:rFonts w:asciiTheme="minorHAnsi" w:eastAsia="Verdana" w:hAnsiTheme="minorHAnsi" w:cs="Verdana"/>
          <w:lang w:val="pt-PT"/>
        </w:rPr>
        <w:t xml:space="preserve"> tecnol</w:t>
      </w:r>
      <w:r w:rsidR="001B64D2">
        <w:rPr>
          <w:rFonts w:asciiTheme="minorHAnsi" w:eastAsia="Verdana" w:hAnsiTheme="minorHAnsi" w:cs="Verdana"/>
          <w:lang w:val="pt-PT"/>
        </w:rPr>
        <w:t>ó</w:t>
      </w:r>
      <w:r w:rsidRPr="00C94B85">
        <w:rPr>
          <w:rFonts w:asciiTheme="minorHAnsi" w:eastAsia="Verdana" w:hAnsiTheme="minorHAnsi" w:cs="Verdana"/>
          <w:lang w:val="pt-PT"/>
        </w:rPr>
        <w:t>gi</w:t>
      </w:r>
      <w:r w:rsidR="001B64D2">
        <w:rPr>
          <w:rFonts w:asciiTheme="minorHAnsi" w:eastAsia="Verdana" w:hAnsiTheme="minorHAnsi" w:cs="Verdana"/>
          <w:lang w:val="pt-PT"/>
        </w:rPr>
        <w:t>c</w:t>
      </w:r>
      <w:r w:rsidRPr="00C94B85">
        <w:rPr>
          <w:rFonts w:asciiTheme="minorHAnsi" w:eastAsia="Verdana" w:hAnsiTheme="minorHAnsi" w:cs="Verdana"/>
          <w:lang w:val="pt-PT"/>
        </w:rPr>
        <w:t>a ao longo do tempo e o seu grau de maturidade</w:t>
      </w:r>
      <w:r w:rsidR="0054297C">
        <w:rPr>
          <w:rFonts w:asciiTheme="minorHAnsi" w:eastAsia="Verdana" w:hAnsiTheme="minorHAnsi" w:cs="Verdana"/>
          <w:lang w:val="pt-PT"/>
        </w:rPr>
        <w:t>.</w:t>
      </w:r>
    </w:p>
    <w:p w14:paraId="476AAEDE" w14:textId="16458000" w:rsidR="64EC3667" w:rsidRPr="001B64D2" w:rsidRDefault="00B60B10" w:rsidP="00ED56CD">
      <w:pPr>
        <w:pStyle w:val="PargrafodaLista"/>
        <w:numPr>
          <w:ilvl w:val="1"/>
          <w:numId w:val="7"/>
        </w:numPr>
        <w:ind w:left="810" w:hanging="450"/>
        <w:rPr>
          <w:rFonts w:asciiTheme="minorHAnsi" w:hAnsiTheme="minorHAnsi"/>
          <w:lang w:val="pt-PT"/>
        </w:rPr>
      </w:pPr>
      <w:r w:rsidRPr="001B64D2">
        <w:rPr>
          <w:rFonts w:asciiTheme="minorHAnsi" w:eastAsia="Verdana" w:hAnsiTheme="minorHAnsi" w:cs="Verdana"/>
          <w:lang w:val="pt-PT"/>
        </w:rPr>
        <w:t xml:space="preserve">Identificação dos documentos de </w:t>
      </w:r>
      <w:r w:rsidR="64EC3667" w:rsidRPr="001B64D2">
        <w:rPr>
          <w:rFonts w:asciiTheme="minorHAnsi" w:eastAsia="Verdana" w:hAnsiTheme="minorHAnsi" w:cs="Verdana"/>
          <w:lang w:val="pt-PT"/>
        </w:rPr>
        <w:t>patente</w:t>
      </w:r>
      <w:r w:rsidRPr="001B64D2">
        <w:rPr>
          <w:rFonts w:asciiTheme="minorHAnsi" w:eastAsia="Verdana" w:hAnsiTheme="minorHAnsi" w:cs="Verdana"/>
          <w:lang w:val="pt-PT"/>
        </w:rPr>
        <w:t xml:space="preserve"> com </w:t>
      </w:r>
      <w:r w:rsidR="64EC3667" w:rsidRPr="001B64D2">
        <w:rPr>
          <w:rFonts w:asciiTheme="minorHAnsi" w:eastAsia="Verdana" w:hAnsiTheme="minorHAnsi" w:cs="Verdana"/>
          <w:lang w:val="pt-PT"/>
        </w:rPr>
        <w:t>o maior impacto</w:t>
      </w:r>
      <w:r w:rsidR="006F72F8" w:rsidRPr="001B64D2">
        <w:rPr>
          <w:rFonts w:asciiTheme="minorHAnsi" w:eastAsia="Verdana" w:hAnsiTheme="minorHAnsi" w:cs="Verdana"/>
          <w:lang w:val="pt-PT"/>
        </w:rPr>
        <w:t xml:space="preserve">, para análise comparativa </w:t>
      </w:r>
      <w:r w:rsidR="00BA172F" w:rsidRPr="001B64D2">
        <w:rPr>
          <w:rFonts w:asciiTheme="minorHAnsi" w:eastAsia="Verdana" w:hAnsiTheme="minorHAnsi" w:cs="Verdana"/>
          <w:lang w:val="pt-PT"/>
        </w:rPr>
        <w:t>das características distintivas</w:t>
      </w:r>
      <w:r w:rsidR="001B64D2" w:rsidRPr="001B64D2">
        <w:rPr>
          <w:rFonts w:asciiTheme="minorHAnsi" w:eastAsia="Verdana" w:hAnsiTheme="minorHAnsi" w:cs="Verdana"/>
          <w:lang w:val="pt-PT"/>
        </w:rPr>
        <w:t xml:space="preserve"> e </w:t>
      </w:r>
      <w:r w:rsidR="001B64D2">
        <w:rPr>
          <w:rFonts w:asciiTheme="minorHAnsi" w:eastAsia="Verdana" w:hAnsiTheme="minorHAnsi" w:cs="Verdana"/>
          <w:lang w:val="pt-PT"/>
        </w:rPr>
        <w:t>a</w:t>
      </w:r>
      <w:r w:rsidRPr="001B64D2">
        <w:rPr>
          <w:rFonts w:asciiTheme="minorHAnsi" w:eastAsia="Verdana" w:hAnsiTheme="minorHAnsi" w:cs="Verdana"/>
          <w:lang w:val="pt-PT"/>
        </w:rPr>
        <w:t>s diferentes</w:t>
      </w:r>
      <w:r w:rsidR="64EC3667" w:rsidRPr="001B64D2">
        <w:rPr>
          <w:rFonts w:asciiTheme="minorHAnsi" w:eastAsia="Verdana" w:hAnsiTheme="minorHAnsi" w:cs="Verdana"/>
          <w:lang w:val="pt-PT"/>
        </w:rPr>
        <w:t xml:space="preserve"> aplicações </w:t>
      </w:r>
      <w:r w:rsidRPr="001B64D2">
        <w:rPr>
          <w:rFonts w:asciiTheme="minorHAnsi" w:eastAsia="Verdana" w:hAnsiTheme="minorHAnsi" w:cs="Verdana"/>
          <w:lang w:val="pt-PT"/>
        </w:rPr>
        <w:t>d</w:t>
      </w:r>
      <w:r w:rsidR="64EC3667" w:rsidRPr="001B64D2">
        <w:rPr>
          <w:rFonts w:asciiTheme="minorHAnsi" w:eastAsia="Verdana" w:hAnsiTheme="minorHAnsi" w:cs="Verdana"/>
          <w:lang w:val="pt-PT"/>
        </w:rPr>
        <w:t>a tecnologia</w:t>
      </w:r>
      <w:r w:rsidR="0054297C">
        <w:rPr>
          <w:rFonts w:asciiTheme="minorHAnsi" w:eastAsia="Verdana" w:hAnsiTheme="minorHAnsi" w:cs="Verdana"/>
          <w:lang w:val="pt-PT"/>
        </w:rPr>
        <w:t>.</w:t>
      </w:r>
    </w:p>
    <w:p w14:paraId="1ABF743F" w14:textId="64B3FA3E" w:rsidR="64EC3667" w:rsidRPr="00C94B85" w:rsidRDefault="64EC3667" w:rsidP="00C94B85">
      <w:pPr>
        <w:pStyle w:val="PargrafodaLista"/>
        <w:numPr>
          <w:ilvl w:val="1"/>
          <w:numId w:val="7"/>
        </w:numPr>
        <w:ind w:left="810" w:hanging="450"/>
        <w:rPr>
          <w:rFonts w:asciiTheme="minorHAnsi" w:hAnsiTheme="minorHAnsi"/>
          <w:lang w:val="pt-PT"/>
        </w:rPr>
      </w:pPr>
      <w:r w:rsidRPr="00C94B85">
        <w:rPr>
          <w:rFonts w:asciiTheme="minorHAnsi" w:eastAsia="Verdana" w:hAnsiTheme="minorHAnsi" w:cs="Verdana"/>
          <w:lang w:val="pt-PT"/>
        </w:rPr>
        <w:t xml:space="preserve">Quais são as tecnologias emergentes e as linhas de investigação mais recentes? </w:t>
      </w:r>
    </w:p>
    <w:p w14:paraId="1555D1D5" w14:textId="5B98F6EB" w:rsidR="00B60B10" w:rsidRPr="006F72F8" w:rsidRDefault="64EC3667" w:rsidP="006F72F8">
      <w:pPr>
        <w:pStyle w:val="PargrafodaLista"/>
        <w:numPr>
          <w:ilvl w:val="1"/>
          <w:numId w:val="7"/>
        </w:numPr>
        <w:ind w:left="810" w:hanging="450"/>
        <w:rPr>
          <w:rFonts w:asciiTheme="minorHAnsi" w:hAnsiTheme="minorHAnsi"/>
          <w:lang w:val="pt-PT"/>
        </w:rPr>
      </w:pPr>
      <w:r w:rsidRPr="00C94B85">
        <w:rPr>
          <w:rFonts w:asciiTheme="minorHAnsi" w:eastAsia="Verdana" w:hAnsiTheme="minorHAnsi" w:cs="Verdana"/>
          <w:lang w:val="pt-PT"/>
        </w:rPr>
        <w:t xml:space="preserve">Quais </w:t>
      </w:r>
      <w:r w:rsidR="0083359E">
        <w:rPr>
          <w:rFonts w:asciiTheme="minorHAnsi" w:eastAsia="Verdana" w:hAnsiTheme="minorHAnsi" w:cs="Verdana"/>
          <w:lang w:val="pt-PT"/>
        </w:rPr>
        <w:t>os mercados mais estratégicos</w:t>
      </w:r>
      <w:r w:rsidR="0054297C">
        <w:rPr>
          <w:rFonts w:asciiTheme="minorHAnsi" w:eastAsia="Verdana" w:hAnsiTheme="minorHAnsi" w:cs="Verdana"/>
          <w:lang w:val="pt-PT"/>
        </w:rPr>
        <w:t>.</w:t>
      </w:r>
    </w:p>
    <w:p w14:paraId="01E4A832" w14:textId="77777777" w:rsidR="006F72F8" w:rsidRPr="006F72F8" w:rsidRDefault="006F72F8" w:rsidP="006F72F8">
      <w:pPr>
        <w:rPr>
          <w:rFonts w:asciiTheme="minorHAnsi" w:hAnsiTheme="minorHAnsi"/>
          <w:sz w:val="10"/>
          <w:szCs w:val="10"/>
          <w:lang w:val="pt-PT"/>
        </w:rPr>
      </w:pPr>
    </w:p>
    <w:p w14:paraId="3B71B0F3" w14:textId="139E25E2" w:rsidR="00B60B10" w:rsidRPr="00B60B10" w:rsidRDefault="00B60B10" w:rsidP="006F72F8">
      <w:pPr>
        <w:ind w:left="-567" w:firstLine="0"/>
        <w:rPr>
          <w:rFonts w:asciiTheme="minorHAnsi" w:hAnsiTheme="minorHAnsi"/>
          <w:lang w:val="pt-PT"/>
        </w:rPr>
      </w:pPr>
      <w:r w:rsidRPr="00FF7074">
        <w:rPr>
          <w:noProof/>
          <w:lang w:val="pt-PT"/>
        </w:rPr>
        <w:drawing>
          <wp:inline distT="0" distB="0" distL="0" distR="0" wp14:anchorId="35200D25" wp14:editId="581D4373">
            <wp:extent cx="6683575" cy="4169069"/>
            <wp:effectExtent l="0" t="0" r="3175" b="317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6692115" cy="4174396"/>
                    </a:xfrm>
                    <a:prstGeom prst="rect">
                      <a:avLst/>
                    </a:prstGeom>
                  </pic:spPr>
                </pic:pic>
              </a:graphicData>
            </a:graphic>
          </wp:inline>
        </w:drawing>
      </w:r>
    </w:p>
    <w:p w14:paraId="2E41F9B8" w14:textId="5F53F7C6" w:rsidR="64EC3667" w:rsidRPr="00C94B85" w:rsidRDefault="64EC3667" w:rsidP="00C94B85">
      <w:pPr>
        <w:ind w:firstLine="0"/>
        <w:rPr>
          <w:rFonts w:asciiTheme="minorHAnsi" w:eastAsia="Verdana" w:hAnsiTheme="minorHAnsi" w:cs="Verdana"/>
          <w:color w:val="000000"/>
          <w:lang w:val="pt-PT"/>
        </w:rPr>
      </w:pPr>
    </w:p>
    <w:p w14:paraId="0845C6C7" w14:textId="490F10C3" w:rsidR="64EC3667" w:rsidRPr="00234AAA" w:rsidRDefault="64EC3667" w:rsidP="00234AAA">
      <w:pPr>
        <w:spacing w:before="240" w:after="360"/>
        <w:ind w:left="567" w:hanging="567"/>
        <w:rPr>
          <w:rFonts w:asciiTheme="minorHAnsi" w:eastAsia="Verdana" w:hAnsiTheme="minorHAnsi" w:cs="Verdana"/>
          <w:b/>
          <w:bCs/>
          <w:color w:val="000000"/>
          <w:lang w:val="pt-PT"/>
        </w:rPr>
      </w:pPr>
      <w:r w:rsidRPr="00C94B85">
        <w:rPr>
          <w:rFonts w:asciiTheme="minorHAnsi" w:eastAsia="Verdana" w:hAnsiTheme="minorHAnsi" w:cs="Verdana"/>
          <w:b/>
          <w:bCs/>
          <w:color w:val="000000"/>
          <w:lang w:val="pt-PT"/>
        </w:rPr>
        <w:t>A.2</w:t>
      </w:r>
      <w:r w:rsidR="00F40881" w:rsidRPr="00C94B85">
        <w:rPr>
          <w:rFonts w:asciiTheme="minorHAnsi" w:eastAsia="Verdana" w:hAnsiTheme="minorHAnsi" w:cs="Verdana"/>
          <w:b/>
          <w:bCs/>
          <w:color w:val="000000"/>
          <w:lang w:val="pt-PT"/>
        </w:rPr>
        <w:t xml:space="preserve"> </w:t>
      </w:r>
      <w:r w:rsidR="00F40881" w:rsidRPr="00C94B85">
        <w:rPr>
          <w:rFonts w:asciiTheme="minorHAnsi" w:eastAsia="Verdana" w:hAnsiTheme="minorHAnsi" w:cs="Verdana"/>
          <w:b/>
          <w:bCs/>
          <w:color w:val="000000"/>
          <w:lang w:val="pt-PT"/>
        </w:rPr>
        <w:tab/>
      </w:r>
      <w:r w:rsidRPr="00C94B85">
        <w:rPr>
          <w:rFonts w:asciiTheme="minorHAnsi" w:eastAsia="Verdana" w:hAnsiTheme="minorHAnsi" w:cs="Verdana"/>
          <w:b/>
          <w:bCs/>
          <w:color w:val="000000"/>
          <w:lang w:val="pt-PT"/>
        </w:rPr>
        <w:t xml:space="preserve">Tecnologia e nível de desenvolvimento: </w:t>
      </w:r>
    </w:p>
    <w:p w14:paraId="402ABF6D" w14:textId="77EC13A2" w:rsidR="64EC3667" w:rsidRPr="00261575" w:rsidRDefault="64EC3667" w:rsidP="00C94B85">
      <w:pPr>
        <w:ind w:firstLine="0"/>
        <w:rPr>
          <w:rFonts w:asciiTheme="minorHAnsi" w:eastAsia="Verdana" w:hAnsiTheme="minorHAnsi" w:cs="Verdana"/>
          <w:color w:val="3CC4A4"/>
          <w:lang w:val="pt-PT"/>
        </w:rPr>
      </w:pPr>
      <w:r w:rsidRPr="00261575">
        <w:rPr>
          <w:rFonts w:asciiTheme="minorHAnsi" w:eastAsia="Verdana" w:hAnsiTheme="minorHAnsi" w:cs="Verdana"/>
          <w:color w:val="3CC4A4"/>
          <w:lang w:val="pt-PT"/>
        </w:rPr>
        <w:t>Identificação de potenciais aplicações</w:t>
      </w:r>
    </w:p>
    <w:p w14:paraId="0249C703" w14:textId="4C5B6072" w:rsidR="64EC3667" w:rsidRPr="00C94B85" w:rsidRDefault="64EC3667" w:rsidP="00C94B85">
      <w:pPr>
        <w:ind w:firstLine="0"/>
        <w:rPr>
          <w:rFonts w:asciiTheme="minorHAnsi" w:eastAsia="Verdana" w:hAnsiTheme="minorHAnsi" w:cs="Verdana"/>
          <w:color w:val="000000"/>
          <w:lang w:val="pt-PT"/>
        </w:rPr>
      </w:pPr>
      <w:r w:rsidRPr="00C94B85">
        <w:rPr>
          <w:rFonts w:asciiTheme="minorHAnsi" w:eastAsia="Verdana" w:hAnsiTheme="minorHAnsi" w:cs="Verdana"/>
          <w:color w:val="000000"/>
          <w:lang w:val="pt-PT"/>
        </w:rPr>
        <w:t xml:space="preserve">É muito comum que as tecnologias sejam desenvolvidas com um determinado objetivo, para resolver um determinado problema do estado da </w:t>
      </w:r>
      <w:r w:rsidR="00B60B10">
        <w:rPr>
          <w:rFonts w:asciiTheme="minorHAnsi" w:eastAsia="Verdana" w:hAnsiTheme="minorHAnsi" w:cs="Verdana"/>
          <w:color w:val="000000"/>
          <w:lang w:val="pt-PT"/>
        </w:rPr>
        <w:t>técnica</w:t>
      </w:r>
      <w:r w:rsidRPr="00C94B85">
        <w:rPr>
          <w:rFonts w:asciiTheme="minorHAnsi" w:eastAsia="Verdana" w:hAnsiTheme="minorHAnsi" w:cs="Verdana"/>
          <w:color w:val="000000"/>
          <w:lang w:val="pt-PT"/>
        </w:rPr>
        <w:t xml:space="preserve">. No entanto, cada tecnologia, em função das suas características, pode ter aplicabilidade em diferentes domínios tecnológicos. </w:t>
      </w:r>
    </w:p>
    <w:p w14:paraId="742B8F1B" w14:textId="7499CC22" w:rsidR="64EC3667" w:rsidRPr="00C94B85" w:rsidRDefault="64EC3667" w:rsidP="00C94B85">
      <w:pPr>
        <w:ind w:firstLine="0"/>
        <w:rPr>
          <w:rFonts w:asciiTheme="minorHAnsi" w:eastAsia="Verdana" w:hAnsiTheme="minorHAnsi" w:cs="Verdana"/>
          <w:color w:val="000000"/>
          <w:lang w:val="pt-PT"/>
        </w:rPr>
      </w:pPr>
      <w:r w:rsidRPr="00C94B85">
        <w:rPr>
          <w:rFonts w:asciiTheme="minorHAnsi" w:eastAsia="Verdana" w:hAnsiTheme="minorHAnsi" w:cs="Verdana"/>
          <w:color w:val="000000"/>
          <w:lang w:val="pt-PT"/>
        </w:rPr>
        <w:t xml:space="preserve">A </w:t>
      </w:r>
      <w:r w:rsidRPr="00C94B85">
        <w:rPr>
          <w:rFonts w:asciiTheme="minorHAnsi" w:eastAsia="Verdana" w:hAnsiTheme="minorHAnsi" w:cs="Verdana"/>
          <w:b/>
          <w:bCs/>
          <w:color w:val="000000"/>
          <w:lang w:val="pt-PT"/>
        </w:rPr>
        <w:t xml:space="preserve">identificação de todas as aplicações possíveis da tecnologia </w:t>
      </w:r>
      <w:r w:rsidRPr="00C94B85">
        <w:rPr>
          <w:rFonts w:asciiTheme="minorHAnsi" w:eastAsia="Verdana" w:hAnsiTheme="minorHAnsi" w:cs="Verdana"/>
          <w:color w:val="000000"/>
          <w:lang w:val="pt-PT"/>
        </w:rPr>
        <w:t>aumenta as oportunidades de comercialização e, como tal, tem impacto na valorização.</w:t>
      </w:r>
    </w:p>
    <w:p w14:paraId="7BF75694" w14:textId="22F720B6" w:rsidR="64EC3667" w:rsidRPr="00C94B85" w:rsidRDefault="64EC3667" w:rsidP="00C94B85">
      <w:pPr>
        <w:ind w:firstLine="0"/>
        <w:rPr>
          <w:rFonts w:asciiTheme="minorHAnsi" w:eastAsia="Verdana" w:hAnsiTheme="minorHAnsi" w:cs="Verdana"/>
          <w:color w:val="000000"/>
          <w:lang w:val="pt-PT"/>
        </w:rPr>
      </w:pPr>
      <w:r w:rsidRPr="00C94B85">
        <w:rPr>
          <w:rFonts w:asciiTheme="minorHAnsi" w:eastAsia="Verdana" w:hAnsiTheme="minorHAnsi" w:cs="Verdana"/>
          <w:color w:val="000000"/>
          <w:lang w:val="pt-PT"/>
        </w:rPr>
        <w:lastRenderedPageBreak/>
        <w:t>Podem ser procuradas diferentes utilizações da tecnologia:</w:t>
      </w:r>
    </w:p>
    <w:p w14:paraId="1088C2D1" w14:textId="7508EF30" w:rsidR="64EC3667" w:rsidRPr="00C94B85" w:rsidRDefault="64EC3667" w:rsidP="00C94B85">
      <w:pPr>
        <w:pStyle w:val="PargrafodaLista"/>
        <w:numPr>
          <w:ilvl w:val="1"/>
          <w:numId w:val="4"/>
        </w:numPr>
        <w:ind w:left="900" w:hanging="270"/>
        <w:rPr>
          <w:rFonts w:asciiTheme="minorHAnsi" w:hAnsiTheme="minorHAnsi"/>
          <w:lang w:val="pt-PT"/>
        </w:rPr>
      </w:pPr>
      <w:r w:rsidRPr="00C94B85">
        <w:rPr>
          <w:rFonts w:asciiTheme="minorHAnsi" w:eastAsia="Verdana" w:hAnsiTheme="minorHAnsi" w:cs="Verdana"/>
          <w:lang w:val="pt-PT"/>
        </w:rPr>
        <w:t>Brainstorming com investigadores</w:t>
      </w:r>
    </w:p>
    <w:p w14:paraId="2B02339F" w14:textId="7C690A3D" w:rsidR="64EC3667" w:rsidRPr="00C94B85" w:rsidRDefault="64EC3667" w:rsidP="00C94B85">
      <w:pPr>
        <w:pStyle w:val="PargrafodaLista"/>
        <w:numPr>
          <w:ilvl w:val="1"/>
          <w:numId w:val="4"/>
        </w:numPr>
        <w:ind w:left="900" w:hanging="270"/>
        <w:rPr>
          <w:rFonts w:asciiTheme="minorHAnsi" w:hAnsiTheme="minorHAnsi"/>
          <w:lang w:val="pt-PT"/>
        </w:rPr>
      </w:pPr>
      <w:r w:rsidRPr="00C94B85">
        <w:rPr>
          <w:rFonts w:asciiTheme="minorHAnsi" w:eastAsia="Verdana" w:hAnsiTheme="minorHAnsi" w:cs="Verdana"/>
          <w:lang w:val="pt-PT"/>
        </w:rPr>
        <w:t xml:space="preserve">Estado da </w:t>
      </w:r>
      <w:r w:rsidR="00B60B10">
        <w:rPr>
          <w:rFonts w:asciiTheme="minorHAnsi" w:eastAsia="Verdana" w:hAnsiTheme="minorHAnsi" w:cs="Verdana"/>
          <w:lang w:val="pt-PT"/>
        </w:rPr>
        <w:t>técnica</w:t>
      </w:r>
      <w:r w:rsidRPr="00C94B85">
        <w:rPr>
          <w:rFonts w:asciiTheme="minorHAnsi" w:eastAsia="Verdana" w:hAnsiTheme="minorHAnsi" w:cs="Verdana"/>
          <w:lang w:val="pt-PT"/>
        </w:rPr>
        <w:t>: pesquisa de palavras-chave nas bases de dados de patentes</w:t>
      </w:r>
    </w:p>
    <w:p w14:paraId="7D4EAEA2" w14:textId="23B59DBF" w:rsidR="64EC3667" w:rsidRPr="00C94B85" w:rsidRDefault="64EC3667" w:rsidP="00C94B85">
      <w:pPr>
        <w:pStyle w:val="PargrafodaLista"/>
        <w:numPr>
          <w:ilvl w:val="1"/>
          <w:numId w:val="4"/>
        </w:numPr>
        <w:tabs>
          <w:tab w:val="left" w:pos="5720"/>
        </w:tabs>
        <w:ind w:left="900" w:hanging="270"/>
        <w:rPr>
          <w:rFonts w:asciiTheme="minorHAnsi" w:hAnsiTheme="minorHAnsi"/>
          <w:lang w:val="pt-PT"/>
        </w:rPr>
      </w:pPr>
      <w:r w:rsidRPr="00C94B85">
        <w:rPr>
          <w:rFonts w:asciiTheme="minorHAnsi" w:eastAsia="Verdana" w:hAnsiTheme="minorHAnsi" w:cs="Verdana"/>
          <w:lang w:val="pt-PT"/>
        </w:rPr>
        <w:t>Pesquisa em linha: As bases de dados públicas também podem fornecer uma grande quantidade de informações.</w:t>
      </w:r>
    </w:p>
    <w:p w14:paraId="30F3D3BD" w14:textId="55938DDC" w:rsidR="4C528AD0" w:rsidRPr="00C94B85" w:rsidRDefault="4C528AD0" w:rsidP="00C94B85">
      <w:pPr>
        <w:tabs>
          <w:tab w:val="left" w:pos="5720"/>
        </w:tabs>
        <w:ind w:left="900" w:hanging="270"/>
        <w:rPr>
          <w:rFonts w:asciiTheme="minorHAnsi" w:eastAsia="Verdana" w:hAnsiTheme="minorHAnsi" w:cs="Verdana"/>
          <w:color w:val="000000"/>
          <w:lang w:val="pt-PT"/>
        </w:rPr>
      </w:pPr>
    </w:p>
    <w:p w14:paraId="7EF40C66" w14:textId="36BA297C" w:rsidR="64EC3667" w:rsidRPr="00261575" w:rsidRDefault="64EC3667" w:rsidP="00C94B85">
      <w:pPr>
        <w:tabs>
          <w:tab w:val="left" w:pos="5720"/>
        </w:tabs>
        <w:ind w:firstLine="0"/>
        <w:rPr>
          <w:rFonts w:asciiTheme="minorHAnsi" w:eastAsia="Verdana" w:hAnsiTheme="minorHAnsi" w:cs="Verdana"/>
          <w:color w:val="3CC4A4"/>
          <w:lang w:val="pt-PT"/>
        </w:rPr>
      </w:pPr>
      <w:r w:rsidRPr="00261575">
        <w:rPr>
          <w:rFonts w:asciiTheme="minorHAnsi" w:eastAsia="Verdana" w:hAnsiTheme="minorHAnsi" w:cs="Verdana"/>
          <w:color w:val="3CC4A4"/>
          <w:lang w:val="pt-PT"/>
        </w:rPr>
        <w:t>Estado do desenvolvimento tecnológico</w:t>
      </w:r>
    </w:p>
    <w:p w14:paraId="39EE86FE" w14:textId="704A075B" w:rsidR="64EC3667" w:rsidRPr="00C94B85" w:rsidRDefault="64EC3667" w:rsidP="00C94B85">
      <w:pPr>
        <w:tabs>
          <w:tab w:val="left" w:pos="5720"/>
        </w:tabs>
        <w:ind w:firstLine="0"/>
        <w:rPr>
          <w:rFonts w:asciiTheme="minorHAnsi" w:eastAsia="Verdana" w:hAnsiTheme="minorHAnsi" w:cs="Verdana"/>
          <w:color w:val="000000"/>
          <w:lang w:val="pt-PT"/>
        </w:rPr>
      </w:pPr>
      <w:r w:rsidRPr="00C94B85">
        <w:rPr>
          <w:rFonts w:asciiTheme="minorHAnsi" w:eastAsia="Verdana" w:hAnsiTheme="minorHAnsi" w:cs="Verdana"/>
          <w:color w:val="000000"/>
          <w:lang w:val="pt-PT"/>
        </w:rPr>
        <w:t>O desenvolvimento de uma tecnologia passa por várias fases em função da sua robustez e complexidade.</w:t>
      </w:r>
    </w:p>
    <w:p w14:paraId="75801FA8" w14:textId="3FF3DD75" w:rsidR="64EC3667" w:rsidRPr="00C94B85" w:rsidRDefault="64EC3667" w:rsidP="00C94B85">
      <w:pPr>
        <w:tabs>
          <w:tab w:val="left" w:pos="5720"/>
        </w:tabs>
        <w:ind w:firstLine="0"/>
        <w:rPr>
          <w:rFonts w:asciiTheme="minorHAnsi" w:eastAsia="Verdana" w:hAnsiTheme="minorHAnsi" w:cs="Verdana"/>
          <w:color w:val="000000"/>
          <w:lang w:val="pt-PT"/>
        </w:rPr>
      </w:pPr>
      <w:r w:rsidRPr="00C94B85">
        <w:rPr>
          <w:rFonts w:asciiTheme="minorHAnsi" w:eastAsia="Verdana" w:hAnsiTheme="minorHAnsi" w:cs="Verdana"/>
          <w:color w:val="000000"/>
          <w:lang w:val="pt-PT"/>
        </w:rPr>
        <w:t xml:space="preserve">A escala do </w:t>
      </w:r>
      <w:r w:rsidRPr="00C94B85">
        <w:rPr>
          <w:rFonts w:asciiTheme="minorHAnsi" w:eastAsia="Verdana" w:hAnsiTheme="minorHAnsi" w:cs="Verdana"/>
          <w:b/>
          <w:bCs/>
          <w:color w:val="000000"/>
          <w:lang w:val="pt-PT"/>
        </w:rPr>
        <w:t>nível de preparação tecnológica (TRL)</w:t>
      </w:r>
      <w:r w:rsidRPr="00C94B85">
        <w:rPr>
          <w:rFonts w:asciiTheme="minorHAnsi" w:eastAsia="Verdana" w:hAnsiTheme="minorHAnsi" w:cs="Verdana"/>
          <w:color w:val="000000"/>
          <w:lang w:val="pt-PT"/>
        </w:rPr>
        <w:t xml:space="preserve"> indica o grau de maturidade da tecnologia. A escala TRL foi desenvolvida pela NASA para escrever as fases de desenvolvimento ou de preparação da tecnologia, tendo-se tornado uma referência e sido amplamente </w:t>
      </w:r>
      <w:r w:rsidR="00215EB7" w:rsidRPr="00C94B85">
        <w:rPr>
          <w:rFonts w:asciiTheme="minorHAnsi" w:eastAsia="Verdana" w:hAnsiTheme="minorHAnsi" w:cs="Verdana"/>
          <w:color w:val="000000"/>
          <w:lang w:val="pt-PT"/>
        </w:rPr>
        <w:t>adotada</w:t>
      </w:r>
      <w:r w:rsidRPr="00C94B85">
        <w:rPr>
          <w:rFonts w:asciiTheme="minorHAnsi" w:eastAsia="Verdana" w:hAnsiTheme="minorHAnsi" w:cs="Verdana"/>
          <w:color w:val="000000"/>
          <w:lang w:val="pt-PT"/>
        </w:rPr>
        <w:t xml:space="preserve"> no contexto dos </w:t>
      </w:r>
      <w:r w:rsidR="00215EB7" w:rsidRPr="00C94B85">
        <w:rPr>
          <w:rFonts w:asciiTheme="minorHAnsi" w:eastAsia="Verdana" w:hAnsiTheme="minorHAnsi" w:cs="Verdana"/>
          <w:color w:val="000000"/>
          <w:lang w:val="pt-PT"/>
        </w:rPr>
        <w:t>projetos</w:t>
      </w:r>
      <w:r w:rsidRPr="00C94B85">
        <w:rPr>
          <w:rFonts w:asciiTheme="minorHAnsi" w:eastAsia="Verdana" w:hAnsiTheme="minorHAnsi" w:cs="Verdana"/>
          <w:color w:val="000000"/>
          <w:lang w:val="pt-PT"/>
        </w:rPr>
        <w:t xml:space="preserve"> europeus de I&amp;D financiados.</w:t>
      </w:r>
    </w:p>
    <w:p w14:paraId="393C343A" w14:textId="231813C9" w:rsidR="64EC3667" w:rsidRPr="00C94B85" w:rsidRDefault="64EC3667" w:rsidP="00C94B85">
      <w:pPr>
        <w:tabs>
          <w:tab w:val="left" w:pos="5720"/>
        </w:tabs>
        <w:ind w:firstLine="0"/>
        <w:rPr>
          <w:rFonts w:asciiTheme="minorHAnsi" w:eastAsia="Verdana" w:hAnsiTheme="minorHAnsi" w:cs="Verdana"/>
          <w:color w:val="000000"/>
          <w:lang w:val="pt-PT"/>
        </w:rPr>
      </w:pPr>
      <w:r w:rsidRPr="00C94B85">
        <w:rPr>
          <w:rFonts w:asciiTheme="minorHAnsi" w:eastAsia="Verdana" w:hAnsiTheme="minorHAnsi" w:cs="Verdana"/>
          <w:color w:val="000000"/>
          <w:lang w:val="pt-PT"/>
        </w:rPr>
        <w:t>Semelhante, mas adaptado ao sector farmacêutico e médico, o Departamento de Saúde e Serviços Humanos dos EUA criou o TRLS integrado para produtos de contramedidas médicas.</w:t>
      </w:r>
    </w:p>
    <w:p w14:paraId="0F915244" w14:textId="2BAF9543" w:rsidR="64EC3667" w:rsidRPr="00DF0A7A" w:rsidRDefault="64EC3667" w:rsidP="00DF0A7A">
      <w:pPr>
        <w:tabs>
          <w:tab w:val="left" w:pos="5720"/>
        </w:tabs>
        <w:ind w:firstLine="0"/>
        <w:rPr>
          <w:rFonts w:asciiTheme="minorHAnsi" w:eastAsia="Verdana" w:hAnsiTheme="minorHAnsi" w:cs="Verdana"/>
          <w:color w:val="000000"/>
          <w:lang w:val="pt-PT"/>
        </w:rPr>
      </w:pPr>
      <w:r w:rsidRPr="00C94B85">
        <w:rPr>
          <w:rFonts w:asciiTheme="minorHAnsi" w:eastAsia="Verdana" w:hAnsiTheme="minorHAnsi" w:cs="Verdana"/>
          <w:color w:val="000000"/>
          <w:lang w:val="pt-PT"/>
        </w:rPr>
        <w:t>Os TRL são determinados utilizando uma escala de 1 a 9, sendo 9 a tecnologia mais madura:</w:t>
      </w:r>
    </w:p>
    <w:tbl>
      <w:tblPr>
        <w:tblW w:w="0" w:type="auto"/>
        <w:jc w:val="center"/>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720"/>
        <w:gridCol w:w="7050"/>
      </w:tblGrid>
      <w:tr w:rsidR="4C528AD0" w:rsidRPr="00E1357F" w14:paraId="65500599" w14:textId="77777777" w:rsidTr="00261575">
        <w:trPr>
          <w:trHeight w:val="298"/>
          <w:jc w:val="center"/>
        </w:trPr>
        <w:tc>
          <w:tcPr>
            <w:tcW w:w="720" w:type="dxa"/>
            <w:tcBorders>
              <w:top w:val="single" w:sz="6" w:space="0" w:color="FFFFFF" w:themeColor="background2"/>
              <w:left w:val="single" w:sz="6" w:space="0" w:color="FFFFFF" w:themeColor="background2"/>
              <w:bottom w:val="single" w:sz="24" w:space="0" w:color="FFFFFF" w:themeColor="background2"/>
              <w:right w:val="single" w:sz="6" w:space="0" w:color="FFFFFF" w:themeColor="background2"/>
            </w:tcBorders>
            <w:shd w:val="clear" w:color="auto" w:fill="3CC4A4"/>
            <w:tcMar>
              <w:left w:w="105" w:type="dxa"/>
              <w:right w:w="105" w:type="dxa"/>
            </w:tcMar>
            <w:vAlign w:val="center"/>
          </w:tcPr>
          <w:p w14:paraId="5A69E8A2" w14:textId="087E322D" w:rsidR="4C528AD0" w:rsidRPr="00E1357F" w:rsidRDefault="4C528AD0" w:rsidP="4C528AD0">
            <w:pPr>
              <w:tabs>
                <w:tab w:val="left" w:pos="5720"/>
              </w:tabs>
              <w:spacing w:line="259" w:lineRule="auto"/>
              <w:ind w:firstLine="0"/>
              <w:jc w:val="center"/>
              <w:rPr>
                <w:rFonts w:eastAsia="Verdana" w:cs="Verdana"/>
                <w:color w:val="FFFFFF" w:themeColor="background2"/>
                <w:sz w:val="18"/>
                <w:szCs w:val="18"/>
                <w:lang w:val="pt-PT"/>
              </w:rPr>
            </w:pPr>
            <w:r w:rsidRPr="00E1357F">
              <w:rPr>
                <w:rFonts w:eastAsia="Verdana" w:cs="Verdana"/>
                <w:b/>
                <w:bCs/>
                <w:color w:val="FFFFFF" w:themeColor="background2"/>
                <w:sz w:val="18"/>
                <w:szCs w:val="18"/>
                <w:lang w:val="pt-PT"/>
              </w:rPr>
              <w:t>TRL</w:t>
            </w:r>
          </w:p>
        </w:tc>
        <w:tc>
          <w:tcPr>
            <w:tcW w:w="7050" w:type="dxa"/>
            <w:tcBorders>
              <w:top w:val="single" w:sz="6" w:space="0" w:color="FFFFFF" w:themeColor="background2"/>
              <w:left w:val="single" w:sz="6" w:space="0" w:color="FFFFFF" w:themeColor="background2"/>
              <w:bottom w:val="single" w:sz="24" w:space="0" w:color="FFFFFF" w:themeColor="background2"/>
              <w:right w:val="single" w:sz="6" w:space="0" w:color="FFFFFF" w:themeColor="background2"/>
            </w:tcBorders>
            <w:shd w:val="clear" w:color="auto" w:fill="3CC4A4"/>
            <w:tcMar>
              <w:left w:w="105" w:type="dxa"/>
              <w:right w:w="105" w:type="dxa"/>
            </w:tcMar>
            <w:vAlign w:val="center"/>
          </w:tcPr>
          <w:p w14:paraId="38D5AF8E" w14:textId="2E00DC61" w:rsidR="4C528AD0" w:rsidRPr="00E1357F" w:rsidRDefault="4C528AD0" w:rsidP="4C528AD0">
            <w:pPr>
              <w:tabs>
                <w:tab w:val="left" w:pos="5720"/>
              </w:tabs>
              <w:spacing w:line="259" w:lineRule="auto"/>
              <w:ind w:firstLine="0"/>
              <w:jc w:val="center"/>
              <w:rPr>
                <w:rFonts w:eastAsia="Verdana" w:cs="Verdana"/>
                <w:color w:val="FFFFFF" w:themeColor="background2"/>
                <w:sz w:val="18"/>
                <w:szCs w:val="18"/>
                <w:lang w:val="pt-PT"/>
              </w:rPr>
            </w:pPr>
            <w:r w:rsidRPr="00E1357F">
              <w:rPr>
                <w:rFonts w:eastAsia="Verdana" w:cs="Verdana"/>
                <w:b/>
                <w:bCs/>
                <w:color w:val="FFFFFF" w:themeColor="background2"/>
                <w:sz w:val="18"/>
                <w:szCs w:val="18"/>
                <w:lang w:val="pt-PT"/>
              </w:rPr>
              <w:t>Descrição</w:t>
            </w:r>
          </w:p>
        </w:tc>
      </w:tr>
      <w:tr w:rsidR="4C528AD0" w:rsidRPr="00E1357F" w14:paraId="78B2A77A" w14:textId="77777777" w:rsidTr="00261575">
        <w:trPr>
          <w:trHeight w:val="190"/>
          <w:jc w:val="center"/>
        </w:trPr>
        <w:tc>
          <w:tcPr>
            <w:tcW w:w="720" w:type="dxa"/>
            <w:tcBorders>
              <w:top w:val="single" w:sz="24" w:space="0" w:color="FFFFFF" w:themeColor="background2"/>
              <w:left w:val="single" w:sz="6" w:space="0" w:color="FFFFFF" w:themeColor="background2"/>
              <w:bottom w:val="single" w:sz="6" w:space="0" w:color="FFFFFF" w:themeColor="background2"/>
              <w:right w:val="single" w:sz="6" w:space="0" w:color="FFFFFF" w:themeColor="background2"/>
            </w:tcBorders>
            <w:shd w:val="clear" w:color="auto" w:fill="3CC4A4"/>
            <w:tcMar>
              <w:left w:w="105" w:type="dxa"/>
              <w:right w:w="105" w:type="dxa"/>
            </w:tcMar>
            <w:vAlign w:val="center"/>
          </w:tcPr>
          <w:p w14:paraId="3E7ADEC2" w14:textId="01FB95A9" w:rsidR="4C528AD0" w:rsidRPr="00E1357F" w:rsidRDefault="4C528AD0" w:rsidP="00E1357F">
            <w:pPr>
              <w:tabs>
                <w:tab w:val="left" w:pos="5720"/>
              </w:tabs>
              <w:spacing w:before="60" w:after="60" w:line="240" w:lineRule="auto"/>
              <w:ind w:firstLine="0"/>
              <w:jc w:val="center"/>
              <w:rPr>
                <w:rFonts w:eastAsia="Verdana" w:cs="Verdana"/>
                <w:color w:val="FFFFFF" w:themeColor="background2"/>
                <w:sz w:val="18"/>
                <w:szCs w:val="18"/>
                <w:lang w:val="pt-PT"/>
              </w:rPr>
            </w:pPr>
            <w:r w:rsidRPr="00E1357F">
              <w:rPr>
                <w:rFonts w:eastAsia="Verdana" w:cs="Verdana"/>
                <w:b/>
                <w:bCs/>
                <w:color w:val="FFFFFF" w:themeColor="background2"/>
                <w:sz w:val="18"/>
                <w:szCs w:val="18"/>
                <w:lang w:val="pt-PT"/>
              </w:rPr>
              <w:t>1</w:t>
            </w:r>
          </w:p>
        </w:tc>
        <w:tc>
          <w:tcPr>
            <w:tcW w:w="7050" w:type="dxa"/>
            <w:tcBorders>
              <w:top w:val="single" w:sz="24" w:space="0" w:color="FFFFFF" w:themeColor="background2"/>
              <w:left w:val="single" w:sz="6" w:space="0" w:color="FFFFFF" w:themeColor="background2"/>
              <w:bottom w:val="single" w:sz="6" w:space="0" w:color="FFFFFF" w:themeColor="background2"/>
              <w:right w:val="single" w:sz="6" w:space="0" w:color="FFFFFF" w:themeColor="background2"/>
            </w:tcBorders>
            <w:shd w:val="clear" w:color="auto" w:fill="D9D9D9" w:themeFill="background1" w:themeFillShade="D9"/>
            <w:tcMar>
              <w:left w:w="105" w:type="dxa"/>
              <w:right w:w="105" w:type="dxa"/>
            </w:tcMar>
            <w:vAlign w:val="center"/>
          </w:tcPr>
          <w:p w14:paraId="3DA2D20C" w14:textId="699633C1" w:rsidR="4C528AD0" w:rsidRPr="00E1357F" w:rsidRDefault="4C528AD0" w:rsidP="00E1357F">
            <w:pPr>
              <w:tabs>
                <w:tab w:val="left" w:pos="5720"/>
              </w:tabs>
              <w:spacing w:before="60" w:after="60" w:line="240" w:lineRule="auto"/>
              <w:ind w:firstLine="0"/>
              <w:rPr>
                <w:rFonts w:eastAsia="Verdana" w:cs="Verdana"/>
                <w:sz w:val="18"/>
                <w:szCs w:val="18"/>
                <w:lang w:val="pt-PT"/>
              </w:rPr>
            </w:pPr>
            <w:r w:rsidRPr="00E1357F">
              <w:rPr>
                <w:rFonts w:eastAsia="Verdana" w:cs="Verdana"/>
                <w:sz w:val="18"/>
                <w:szCs w:val="18"/>
                <w:lang w:val="pt-PT"/>
              </w:rPr>
              <w:t>Princípios básicos observados</w:t>
            </w:r>
          </w:p>
        </w:tc>
      </w:tr>
      <w:tr w:rsidR="4C528AD0" w:rsidRPr="00C11CC2" w14:paraId="524AA99F" w14:textId="77777777" w:rsidTr="00261575">
        <w:trPr>
          <w:trHeight w:val="330"/>
          <w:jc w:val="center"/>
        </w:trPr>
        <w:tc>
          <w:tcPr>
            <w:tcW w:w="720" w:type="dxa"/>
            <w:tcBorders>
              <w:top w:val="single" w:sz="6" w:space="0" w:color="FFFFFF" w:themeColor="background2"/>
              <w:left w:val="single" w:sz="6" w:space="0" w:color="FFFFFF" w:themeColor="background2"/>
              <w:bottom w:val="single" w:sz="6" w:space="0" w:color="FFFFFF" w:themeColor="background2"/>
              <w:right w:val="single" w:sz="6" w:space="0" w:color="FFFFFF" w:themeColor="background2"/>
            </w:tcBorders>
            <w:shd w:val="clear" w:color="auto" w:fill="3CC4A4"/>
            <w:tcMar>
              <w:left w:w="105" w:type="dxa"/>
              <w:right w:w="105" w:type="dxa"/>
            </w:tcMar>
            <w:vAlign w:val="center"/>
          </w:tcPr>
          <w:p w14:paraId="1AA29CCD" w14:textId="4F863096" w:rsidR="4C528AD0" w:rsidRPr="00E1357F" w:rsidRDefault="4C528AD0" w:rsidP="00E1357F">
            <w:pPr>
              <w:tabs>
                <w:tab w:val="left" w:pos="5720"/>
              </w:tabs>
              <w:spacing w:before="60" w:after="60" w:line="240" w:lineRule="auto"/>
              <w:ind w:firstLine="0"/>
              <w:jc w:val="center"/>
              <w:rPr>
                <w:rFonts w:eastAsia="Verdana" w:cs="Verdana"/>
                <w:color w:val="FFFFFF" w:themeColor="background2"/>
                <w:sz w:val="18"/>
                <w:szCs w:val="18"/>
                <w:lang w:val="pt-PT"/>
              </w:rPr>
            </w:pPr>
            <w:r w:rsidRPr="00E1357F">
              <w:rPr>
                <w:rFonts w:eastAsia="Verdana" w:cs="Verdana"/>
                <w:b/>
                <w:bCs/>
                <w:color w:val="FFFFFF" w:themeColor="background2"/>
                <w:sz w:val="18"/>
                <w:szCs w:val="18"/>
                <w:lang w:val="pt-PT"/>
              </w:rPr>
              <w:t>2</w:t>
            </w:r>
          </w:p>
        </w:tc>
        <w:tc>
          <w:tcPr>
            <w:tcW w:w="7050" w:type="dxa"/>
            <w:tcBorders>
              <w:top w:val="single" w:sz="6" w:space="0" w:color="FFFFFF" w:themeColor="background2"/>
              <w:left w:val="single" w:sz="6" w:space="0" w:color="FFFFFF" w:themeColor="background2"/>
              <w:bottom w:val="single" w:sz="6" w:space="0" w:color="FFFFFF" w:themeColor="background2"/>
              <w:right w:val="single" w:sz="6" w:space="0" w:color="FFFFFF" w:themeColor="background2"/>
            </w:tcBorders>
            <w:shd w:val="clear" w:color="auto" w:fill="D9D9D9" w:themeFill="background1" w:themeFillShade="D9"/>
            <w:tcMar>
              <w:left w:w="105" w:type="dxa"/>
              <w:right w:w="105" w:type="dxa"/>
            </w:tcMar>
            <w:vAlign w:val="center"/>
          </w:tcPr>
          <w:p w14:paraId="3854B3B8" w14:textId="7DB33A8F" w:rsidR="4C528AD0" w:rsidRPr="00E1357F" w:rsidRDefault="4C528AD0" w:rsidP="00E1357F">
            <w:pPr>
              <w:tabs>
                <w:tab w:val="left" w:pos="5720"/>
              </w:tabs>
              <w:spacing w:before="60" w:after="60" w:line="240" w:lineRule="auto"/>
              <w:ind w:firstLine="0"/>
              <w:rPr>
                <w:rFonts w:eastAsia="Verdana" w:cs="Verdana"/>
                <w:sz w:val="18"/>
                <w:szCs w:val="18"/>
                <w:lang w:val="pt-PT"/>
              </w:rPr>
            </w:pPr>
            <w:r w:rsidRPr="00E1357F">
              <w:rPr>
                <w:rFonts w:eastAsia="Verdana" w:cs="Verdana"/>
                <w:sz w:val="18"/>
                <w:szCs w:val="18"/>
                <w:lang w:val="pt-PT"/>
              </w:rPr>
              <w:t>Conceito e/ou aplicação tecnológica formulada</w:t>
            </w:r>
          </w:p>
        </w:tc>
      </w:tr>
      <w:tr w:rsidR="4C528AD0" w:rsidRPr="00E1357F" w14:paraId="4ECD70C8" w14:textId="77777777" w:rsidTr="00261575">
        <w:trPr>
          <w:trHeight w:val="330"/>
          <w:jc w:val="center"/>
        </w:trPr>
        <w:tc>
          <w:tcPr>
            <w:tcW w:w="720" w:type="dxa"/>
            <w:tcBorders>
              <w:top w:val="single" w:sz="6" w:space="0" w:color="FFFFFF" w:themeColor="background2"/>
              <w:left w:val="single" w:sz="6" w:space="0" w:color="FFFFFF" w:themeColor="background2"/>
              <w:bottom w:val="single" w:sz="6" w:space="0" w:color="FFFFFF" w:themeColor="background2"/>
              <w:right w:val="single" w:sz="6" w:space="0" w:color="FFFFFF" w:themeColor="background2"/>
            </w:tcBorders>
            <w:shd w:val="clear" w:color="auto" w:fill="3CC4A4"/>
            <w:tcMar>
              <w:left w:w="105" w:type="dxa"/>
              <w:right w:w="105" w:type="dxa"/>
            </w:tcMar>
            <w:vAlign w:val="center"/>
          </w:tcPr>
          <w:p w14:paraId="7DEB538C" w14:textId="7848B430" w:rsidR="4C528AD0" w:rsidRPr="00E1357F" w:rsidRDefault="4C528AD0" w:rsidP="00E1357F">
            <w:pPr>
              <w:tabs>
                <w:tab w:val="left" w:pos="5720"/>
              </w:tabs>
              <w:spacing w:before="60" w:after="60" w:line="240" w:lineRule="auto"/>
              <w:ind w:firstLine="0"/>
              <w:jc w:val="center"/>
              <w:rPr>
                <w:rFonts w:eastAsia="Verdana" w:cs="Verdana"/>
                <w:color w:val="FFFFFF" w:themeColor="background2"/>
                <w:sz w:val="18"/>
                <w:szCs w:val="18"/>
                <w:lang w:val="pt-PT"/>
              </w:rPr>
            </w:pPr>
            <w:r w:rsidRPr="00E1357F">
              <w:rPr>
                <w:rFonts w:eastAsia="Verdana" w:cs="Verdana"/>
                <w:b/>
                <w:bCs/>
                <w:color w:val="FFFFFF" w:themeColor="background2"/>
                <w:sz w:val="18"/>
                <w:szCs w:val="18"/>
                <w:lang w:val="pt-PT"/>
              </w:rPr>
              <w:t>3</w:t>
            </w:r>
          </w:p>
        </w:tc>
        <w:tc>
          <w:tcPr>
            <w:tcW w:w="7050" w:type="dxa"/>
            <w:tcBorders>
              <w:top w:val="single" w:sz="6" w:space="0" w:color="FFFFFF" w:themeColor="background2"/>
              <w:left w:val="single" w:sz="6" w:space="0" w:color="FFFFFF" w:themeColor="background2"/>
              <w:bottom w:val="single" w:sz="6" w:space="0" w:color="FFFFFF" w:themeColor="background2"/>
              <w:right w:val="single" w:sz="6" w:space="0" w:color="FFFFFF" w:themeColor="background2"/>
            </w:tcBorders>
            <w:shd w:val="clear" w:color="auto" w:fill="D9D9D9" w:themeFill="background1" w:themeFillShade="D9"/>
            <w:tcMar>
              <w:left w:w="105" w:type="dxa"/>
              <w:right w:w="105" w:type="dxa"/>
            </w:tcMar>
            <w:vAlign w:val="center"/>
          </w:tcPr>
          <w:p w14:paraId="771CAD88" w14:textId="09004565" w:rsidR="4C528AD0" w:rsidRPr="00E1357F" w:rsidRDefault="4C528AD0" w:rsidP="00E1357F">
            <w:pPr>
              <w:tabs>
                <w:tab w:val="left" w:pos="5720"/>
              </w:tabs>
              <w:spacing w:before="60" w:after="60" w:line="240" w:lineRule="auto"/>
              <w:ind w:firstLine="0"/>
              <w:rPr>
                <w:rFonts w:eastAsia="Verdana" w:cs="Verdana"/>
                <w:sz w:val="18"/>
                <w:szCs w:val="18"/>
                <w:lang w:val="pt-PT"/>
              </w:rPr>
            </w:pPr>
            <w:r w:rsidRPr="00E1357F">
              <w:rPr>
                <w:rFonts w:eastAsia="Verdana" w:cs="Verdana"/>
                <w:sz w:val="18"/>
                <w:szCs w:val="18"/>
                <w:lang w:val="pt-PT"/>
              </w:rPr>
              <w:t>Prova experimental do conceito</w:t>
            </w:r>
          </w:p>
        </w:tc>
      </w:tr>
      <w:tr w:rsidR="4C528AD0" w:rsidRPr="00E1357F" w14:paraId="1489F610" w14:textId="77777777" w:rsidTr="00261575">
        <w:trPr>
          <w:trHeight w:val="330"/>
          <w:jc w:val="center"/>
        </w:trPr>
        <w:tc>
          <w:tcPr>
            <w:tcW w:w="720" w:type="dxa"/>
            <w:tcBorders>
              <w:top w:val="single" w:sz="6" w:space="0" w:color="FFFFFF" w:themeColor="background2"/>
              <w:left w:val="single" w:sz="6" w:space="0" w:color="FFFFFF" w:themeColor="background2"/>
              <w:bottom w:val="single" w:sz="6" w:space="0" w:color="FFFFFF" w:themeColor="background2"/>
              <w:right w:val="single" w:sz="6" w:space="0" w:color="FFFFFF" w:themeColor="background2"/>
            </w:tcBorders>
            <w:shd w:val="clear" w:color="auto" w:fill="3CC4A4"/>
            <w:tcMar>
              <w:left w:w="105" w:type="dxa"/>
              <w:right w:w="105" w:type="dxa"/>
            </w:tcMar>
            <w:vAlign w:val="center"/>
          </w:tcPr>
          <w:p w14:paraId="64BAC031" w14:textId="5639F63C" w:rsidR="4C528AD0" w:rsidRPr="00E1357F" w:rsidRDefault="4C528AD0" w:rsidP="00E1357F">
            <w:pPr>
              <w:tabs>
                <w:tab w:val="left" w:pos="5720"/>
              </w:tabs>
              <w:spacing w:before="60" w:after="60" w:line="240" w:lineRule="auto"/>
              <w:ind w:firstLine="0"/>
              <w:jc w:val="center"/>
              <w:rPr>
                <w:rFonts w:eastAsia="Verdana" w:cs="Verdana"/>
                <w:color w:val="FFFFFF" w:themeColor="background2"/>
                <w:sz w:val="18"/>
                <w:szCs w:val="18"/>
                <w:lang w:val="pt-PT"/>
              </w:rPr>
            </w:pPr>
            <w:r w:rsidRPr="00E1357F">
              <w:rPr>
                <w:rFonts w:eastAsia="Verdana" w:cs="Verdana"/>
                <w:b/>
                <w:bCs/>
                <w:color w:val="FFFFFF" w:themeColor="background2"/>
                <w:sz w:val="18"/>
                <w:szCs w:val="18"/>
                <w:lang w:val="pt-PT"/>
              </w:rPr>
              <w:t>4</w:t>
            </w:r>
          </w:p>
        </w:tc>
        <w:tc>
          <w:tcPr>
            <w:tcW w:w="7050" w:type="dxa"/>
            <w:tcBorders>
              <w:top w:val="single" w:sz="6" w:space="0" w:color="FFFFFF" w:themeColor="background2"/>
              <w:left w:val="single" w:sz="6" w:space="0" w:color="FFFFFF" w:themeColor="background2"/>
              <w:bottom w:val="single" w:sz="6" w:space="0" w:color="FFFFFF" w:themeColor="background2"/>
              <w:right w:val="single" w:sz="6" w:space="0" w:color="FFFFFF" w:themeColor="background2"/>
            </w:tcBorders>
            <w:shd w:val="clear" w:color="auto" w:fill="D9D9D9" w:themeFill="background1" w:themeFillShade="D9"/>
            <w:tcMar>
              <w:left w:w="105" w:type="dxa"/>
              <w:right w:w="105" w:type="dxa"/>
            </w:tcMar>
            <w:vAlign w:val="center"/>
          </w:tcPr>
          <w:p w14:paraId="1A158CD6" w14:textId="75FE8E58" w:rsidR="4C528AD0" w:rsidRPr="00E1357F" w:rsidRDefault="4C528AD0" w:rsidP="00E1357F">
            <w:pPr>
              <w:tabs>
                <w:tab w:val="left" w:pos="5720"/>
              </w:tabs>
              <w:spacing w:before="60" w:after="60" w:line="240" w:lineRule="auto"/>
              <w:ind w:firstLine="0"/>
              <w:rPr>
                <w:rFonts w:eastAsia="Verdana" w:cs="Verdana"/>
                <w:sz w:val="18"/>
                <w:szCs w:val="18"/>
                <w:lang w:val="pt-PT"/>
              </w:rPr>
            </w:pPr>
            <w:r w:rsidRPr="00E1357F">
              <w:rPr>
                <w:rFonts w:eastAsia="Verdana" w:cs="Verdana"/>
                <w:sz w:val="18"/>
                <w:szCs w:val="18"/>
                <w:lang w:val="pt-PT"/>
              </w:rPr>
              <w:t xml:space="preserve">Tecnologia validada em </w:t>
            </w:r>
            <w:r w:rsidR="00E1357F" w:rsidRPr="00E1357F">
              <w:rPr>
                <w:rFonts w:eastAsia="Verdana" w:cs="Verdana"/>
                <w:sz w:val="18"/>
                <w:szCs w:val="18"/>
                <w:lang w:val="pt-PT"/>
              </w:rPr>
              <w:t>laboratório</w:t>
            </w:r>
          </w:p>
        </w:tc>
      </w:tr>
      <w:tr w:rsidR="4C528AD0" w:rsidRPr="00C11CC2" w14:paraId="0DE560B0" w14:textId="77777777" w:rsidTr="00261575">
        <w:trPr>
          <w:trHeight w:val="330"/>
          <w:jc w:val="center"/>
        </w:trPr>
        <w:tc>
          <w:tcPr>
            <w:tcW w:w="720" w:type="dxa"/>
            <w:tcBorders>
              <w:top w:val="single" w:sz="6" w:space="0" w:color="FFFFFF" w:themeColor="background2"/>
              <w:left w:val="single" w:sz="6" w:space="0" w:color="FFFFFF" w:themeColor="background2"/>
              <w:bottom w:val="single" w:sz="6" w:space="0" w:color="FFFFFF" w:themeColor="background2"/>
              <w:right w:val="single" w:sz="6" w:space="0" w:color="FFFFFF" w:themeColor="background2"/>
            </w:tcBorders>
            <w:shd w:val="clear" w:color="auto" w:fill="3CC4A4"/>
            <w:tcMar>
              <w:left w:w="105" w:type="dxa"/>
              <w:right w:w="105" w:type="dxa"/>
            </w:tcMar>
            <w:vAlign w:val="center"/>
          </w:tcPr>
          <w:p w14:paraId="5CBDD198" w14:textId="146EEF0F" w:rsidR="4C528AD0" w:rsidRPr="00E1357F" w:rsidRDefault="4C528AD0" w:rsidP="00E1357F">
            <w:pPr>
              <w:tabs>
                <w:tab w:val="left" w:pos="5720"/>
              </w:tabs>
              <w:spacing w:before="60" w:after="60" w:line="240" w:lineRule="auto"/>
              <w:ind w:firstLine="0"/>
              <w:jc w:val="center"/>
              <w:rPr>
                <w:rFonts w:eastAsia="Verdana" w:cs="Verdana"/>
                <w:color w:val="FFFFFF" w:themeColor="background2"/>
                <w:sz w:val="18"/>
                <w:szCs w:val="18"/>
                <w:lang w:val="pt-PT"/>
              </w:rPr>
            </w:pPr>
            <w:r w:rsidRPr="00E1357F">
              <w:rPr>
                <w:rFonts w:eastAsia="Verdana" w:cs="Verdana"/>
                <w:b/>
                <w:bCs/>
                <w:color w:val="FFFFFF" w:themeColor="background2"/>
                <w:sz w:val="18"/>
                <w:szCs w:val="18"/>
                <w:lang w:val="pt-PT"/>
              </w:rPr>
              <w:t>5</w:t>
            </w:r>
          </w:p>
        </w:tc>
        <w:tc>
          <w:tcPr>
            <w:tcW w:w="7050" w:type="dxa"/>
            <w:tcBorders>
              <w:top w:val="single" w:sz="6" w:space="0" w:color="FFFFFF" w:themeColor="background2"/>
              <w:left w:val="single" w:sz="6" w:space="0" w:color="FFFFFF" w:themeColor="background2"/>
              <w:bottom w:val="single" w:sz="6" w:space="0" w:color="FFFFFF" w:themeColor="background2"/>
              <w:right w:val="single" w:sz="6" w:space="0" w:color="FFFFFF" w:themeColor="background2"/>
            </w:tcBorders>
            <w:shd w:val="clear" w:color="auto" w:fill="D9D9D9" w:themeFill="background1" w:themeFillShade="D9"/>
            <w:tcMar>
              <w:left w:w="105" w:type="dxa"/>
              <w:right w:w="105" w:type="dxa"/>
            </w:tcMar>
            <w:vAlign w:val="center"/>
          </w:tcPr>
          <w:p w14:paraId="34FD6CC5" w14:textId="1C98F4DF" w:rsidR="4C528AD0" w:rsidRPr="00E1357F" w:rsidRDefault="4C528AD0" w:rsidP="00E1357F">
            <w:pPr>
              <w:tabs>
                <w:tab w:val="left" w:pos="5720"/>
              </w:tabs>
              <w:spacing w:before="60" w:after="60" w:line="240" w:lineRule="auto"/>
              <w:ind w:firstLine="0"/>
              <w:rPr>
                <w:rFonts w:eastAsia="Verdana" w:cs="Verdana"/>
                <w:sz w:val="18"/>
                <w:szCs w:val="18"/>
                <w:lang w:val="pt-PT"/>
              </w:rPr>
            </w:pPr>
            <w:r w:rsidRPr="00E1357F">
              <w:rPr>
                <w:rFonts w:eastAsia="Verdana" w:cs="Verdana"/>
                <w:sz w:val="18"/>
                <w:szCs w:val="18"/>
                <w:lang w:val="pt-PT"/>
              </w:rPr>
              <w:t>Tecnologia validada num ambiente relevante</w:t>
            </w:r>
          </w:p>
        </w:tc>
      </w:tr>
      <w:tr w:rsidR="4C528AD0" w:rsidRPr="00C11CC2" w14:paraId="78423EC2" w14:textId="77777777" w:rsidTr="00261575">
        <w:trPr>
          <w:trHeight w:val="330"/>
          <w:jc w:val="center"/>
        </w:trPr>
        <w:tc>
          <w:tcPr>
            <w:tcW w:w="720" w:type="dxa"/>
            <w:tcBorders>
              <w:top w:val="single" w:sz="6" w:space="0" w:color="FFFFFF" w:themeColor="background2"/>
              <w:left w:val="single" w:sz="6" w:space="0" w:color="FFFFFF" w:themeColor="background2"/>
              <w:bottom w:val="single" w:sz="6" w:space="0" w:color="FFFFFF" w:themeColor="background2"/>
              <w:right w:val="single" w:sz="6" w:space="0" w:color="FFFFFF" w:themeColor="background2"/>
            </w:tcBorders>
            <w:shd w:val="clear" w:color="auto" w:fill="3CC4A4"/>
            <w:tcMar>
              <w:left w:w="105" w:type="dxa"/>
              <w:right w:w="105" w:type="dxa"/>
            </w:tcMar>
            <w:vAlign w:val="center"/>
          </w:tcPr>
          <w:p w14:paraId="24AA5211" w14:textId="0457DF5B" w:rsidR="4C528AD0" w:rsidRPr="00E1357F" w:rsidRDefault="4C528AD0" w:rsidP="00E1357F">
            <w:pPr>
              <w:tabs>
                <w:tab w:val="left" w:pos="5720"/>
              </w:tabs>
              <w:spacing w:before="60" w:after="60" w:line="240" w:lineRule="auto"/>
              <w:ind w:firstLine="0"/>
              <w:jc w:val="center"/>
              <w:rPr>
                <w:rFonts w:eastAsia="Verdana" w:cs="Verdana"/>
                <w:color w:val="FFFFFF" w:themeColor="background2"/>
                <w:sz w:val="18"/>
                <w:szCs w:val="18"/>
                <w:lang w:val="pt-PT"/>
              </w:rPr>
            </w:pPr>
            <w:r w:rsidRPr="00E1357F">
              <w:rPr>
                <w:rFonts w:eastAsia="Verdana" w:cs="Verdana"/>
                <w:b/>
                <w:bCs/>
                <w:color w:val="FFFFFF" w:themeColor="background2"/>
                <w:sz w:val="18"/>
                <w:szCs w:val="18"/>
                <w:lang w:val="pt-PT"/>
              </w:rPr>
              <w:t>6</w:t>
            </w:r>
          </w:p>
        </w:tc>
        <w:tc>
          <w:tcPr>
            <w:tcW w:w="7050" w:type="dxa"/>
            <w:tcBorders>
              <w:top w:val="single" w:sz="6" w:space="0" w:color="FFFFFF" w:themeColor="background2"/>
              <w:left w:val="single" w:sz="6" w:space="0" w:color="FFFFFF" w:themeColor="background2"/>
              <w:bottom w:val="single" w:sz="6" w:space="0" w:color="FFFFFF" w:themeColor="background2"/>
              <w:right w:val="single" w:sz="6" w:space="0" w:color="FFFFFF" w:themeColor="background2"/>
            </w:tcBorders>
            <w:shd w:val="clear" w:color="auto" w:fill="D9D9D9" w:themeFill="background1" w:themeFillShade="D9"/>
            <w:tcMar>
              <w:left w:w="105" w:type="dxa"/>
              <w:right w:w="105" w:type="dxa"/>
            </w:tcMar>
            <w:vAlign w:val="center"/>
          </w:tcPr>
          <w:p w14:paraId="68ADA090" w14:textId="3B786277" w:rsidR="4C528AD0" w:rsidRPr="00E1357F" w:rsidRDefault="4C528AD0" w:rsidP="00E1357F">
            <w:pPr>
              <w:tabs>
                <w:tab w:val="left" w:pos="5720"/>
              </w:tabs>
              <w:spacing w:before="60" w:after="60" w:line="240" w:lineRule="auto"/>
              <w:ind w:firstLine="0"/>
              <w:rPr>
                <w:rFonts w:eastAsia="Verdana" w:cs="Verdana"/>
                <w:sz w:val="18"/>
                <w:szCs w:val="18"/>
                <w:lang w:val="pt-PT"/>
              </w:rPr>
            </w:pPr>
            <w:r w:rsidRPr="00E1357F">
              <w:rPr>
                <w:rFonts w:eastAsia="Verdana" w:cs="Verdana"/>
                <w:sz w:val="18"/>
                <w:szCs w:val="18"/>
                <w:lang w:val="pt-PT"/>
              </w:rPr>
              <w:t>Tecnologia comprovada num ambiente relevante</w:t>
            </w:r>
          </w:p>
        </w:tc>
      </w:tr>
      <w:tr w:rsidR="4C528AD0" w:rsidRPr="00C11CC2" w14:paraId="126684D0" w14:textId="77777777" w:rsidTr="00261575">
        <w:trPr>
          <w:trHeight w:val="330"/>
          <w:jc w:val="center"/>
        </w:trPr>
        <w:tc>
          <w:tcPr>
            <w:tcW w:w="720" w:type="dxa"/>
            <w:tcBorders>
              <w:top w:val="single" w:sz="6" w:space="0" w:color="FFFFFF" w:themeColor="background2"/>
              <w:left w:val="single" w:sz="6" w:space="0" w:color="FFFFFF" w:themeColor="background2"/>
              <w:bottom w:val="single" w:sz="6" w:space="0" w:color="FFFFFF" w:themeColor="background2"/>
              <w:right w:val="single" w:sz="6" w:space="0" w:color="FFFFFF" w:themeColor="background2"/>
            </w:tcBorders>
            <w:shd w:val="clear" w:color="auto" w:fill="3CC4A4"/>
            <w:tcMar>
              <w:left w:w="105" w:type="dxa"/>
              <w:right w:w="105" w:type="dxa"/>
            </w:tcMar>
            <w:vAlign w:val="center"/>
          </w:tcPr>
          <w:p w14:paraId="782CF8A4" w14:textId="1D0B160D" w:rsidR="4C528AD0" w:rsidRPr="00E1357F" w:rsidRDefault="4C528AD0" w:rsidP="00E1357F">
            <w:pPr>
              <w:tabs>
                <w:tab w:val="left" w:pos="5720"/>
              </w:tabs>
              <w:spacing w:before="60" w:after="60" w:line="240" w:lineRule="auto"/>
              <w:ind w:firstLine="0"/>
              <w:jc w:val="center"/>
              <w:rPr>
                <w:rFonts w:eastAsia="Verdana" w:cs="Verdana"/>
                <w:color w:val="FFFFFF" w:themeColor="background2"/>
                <w:sz w:val="18"/>
                <w:szCs w:val="18"/>
                <w:lang w:val="pt-PT"/>
              </w:rPr>
            </w:pPr>
            <w:r w:rsidRPr="00E1357F">
              <w:rPr>
                <w:rFonts w:eastAsia="Verdana" w:cs="Verdana"/>
                <w:b/>
                <w:bCs/>
                <w:color w:val="FFFFFF" w:themeColor="background2"/>
                <w:sz w:val="18"/>
                <w:szCs w:val="18"/>
                <w:lang w:val="pt-PT"/>
              </w:rPr>
              <w:t>7</w:t>
            </w:r>
          </w:p>
        </w:tc>
        <w:tc>
          <w:tcPr>
            <w:tcW w:w="7050" w:type="dxa"/>
            <w:tcBorders>
              <w:top w:val="single" w:sz="6" w:space="0" w:color="FFFFFF" w:themeColor="background2"/>
              <w:left w:val="single" w:sz="6" w:space="0" w:color="FFFFFF" w:themeColor="background2"/>
              <w:bottom w:val="single" w:sz="6" w:space="0" w:color="FFFFFF" w:themeColor="background2"/>
              <w:right w:val="single" w:sz="6" w:space="0" w:color="FFFFFF" w:themeColor="background2"/>
            </w:tcBorders>
            <w:shd w:val="clear" w:color="auto" w:fill="D9D9D9" w:themeFill="background1" w:themeFillShade="D9"/>
            <w:tcMar>
              <w:left w:w="105" w:type="dxa"/>
              <w:right w:w="105" w:type="dxa"/>
            </w:tcMar>
            <w:vAlign w:val="center"/>
          </w:tcPr>
          <w:p w14:paraId="7F127A86" w14:textId="1E130116" w:rsidR="4C528AD0" w:rsidRPr="00E1357F" w:rsidRDefault="4C528AD0" w:rsidP="00E1357F">
            <w:pPr>
              <w:tabs>
                <w:tab w:val="left" w:pos="5720"/>
              </w:tabs>
              <w:spacing w:before="60" w:after="60" w:line="240" w:lineRule="auto"/>
              <w:ind w:firstLine="0"/>
              <w:rPr>
                <w:rFonts w:eastAsia="Verdana" w:cs="Verdana"/>
                <w:sz w:val="18"/>
                <w:szCs w:val="18"/>
                <w:lang w:val="pt-PT"/>
              </w:rPr>
            </w:pPr>
            <w:r w:rsidRPr="00E1357F">
              <w:rPr>
                <w:rFonts w:eastAsia="Verdana" w:cs="Verdana"/>
                <w:sz w:val="18"/>
                <w:szCs w:val="18"/>
                <w:lang w:val="pt-PT"/>
              </w:rPr>
              <w:t>Protótipo do sistema demonstrado num ambiente operacional</w:t>
            </w:r>
          </w:p>
        </w:tc>
      </w:tr>
      <w:tr w:rsidR="4C528AD0" w:rsidRPr="00C11CC2" w14:paraId="18CCDDE6" w14:textId="77777777" w:rsidTr="00261575">
        <w:trPr>
          <w:trHeight w:val="330"/>
          <w:jc w:val="center"/>
        </w:trPr>
        <w:tc>
          <w:tcPr>
            <w:tcW w:w="720" w:type="dxa"/>
            <w:tcBorders>
              <w:top w:val="single" w:sz="6" w:space="0" w:color="FFFFFF" w:themeColor="background2"/>
              <w:left w:val="single" w:sz="6" w:space="0" w:color="FFFFFF" w:themeColor="background2"/>
              <w:bottom w:val="single" w:sz="6" w:space="0" w:color="FFFFFF" w:themeColor="background2"/>
              <w:right w:val="single" w:sz="6" w:space="0" w:color="FFFFFF" w:themeColor="background2"/>
            </w:tcBorders>
            <w:shd w:val="clear" w:color="auto" w:fill="3CC4A4"/>
            <w:tcMar>
              <w:left w:w="105" w:type="dxa"/>
              <w:right w:w="105" w:type="dxa"/>
            </w:tcMar>
            <w:vAlign w:val="center"/>
          </w:tcPr>
          <w:p w14:paraId="5032F34E" w14:textId="6EAF393F" w:rsidR="4C528AD0" w:rsidRPr="00E1357F" w:rsidRDefault="4C528AD0" w:rsidP="00E1357F">
            <w:pPr>
              <w:tabs>
                <w:tab w:val="left" w:pos="5720"/>
              </w:tabs>
              <w:spacing w:before="60" w:after="60" w:line="240" w:lineRule="auto"/>
              <w:ind w:firstLine="0"/>
              <w:jc w:val="center"/>
              <w:rPr>
                <w:rFonts w:eastAsia="Verdana" w:cs="Verdana"/>
                <w:color w:val="FFFFFF" w:themeColor="background2"/>
                <w:sz w:val="18"/>
                <w:szCs w:val="18"/>
                <w:lang w:val="pt-PT"/>
              </w:rPr>
            </w:pPr>
            <w:r w:rsidRPr="00E1357F">
              <w:rPr>
                <w:rFonts w:eastAsia="Verdana" w:cs="Verdana"/>
                <w:b/>
                <w:bCs/>
                <w:color w:val="FFFFFF" w:themeColor="background2"/>
                <w:sz w:val="18"/>
                <w:szCs w:val="18"/>
                <w:lang w:val="pt-PT"/>
              </w:rPr>
              <w:t>8</w:t>
            </w:r>
          </w:p>
        </w:tc>
        <w:tc>
          <w:tcPr>
            <w:tcW w:w="7050" w:type="dxa"/>
            <w:tcBorders>
              <w:top w:val="single" w:sz="6" w:space="0" w:color="FFFFFF" w:themeColor="background2"/>
              <w:left w:val="single" w:sz="6" w:space="0" w:color="FFFFFF" w:themeColor="background2"/>
              <w:bottom w:val="single" w:sz="6" w:space="0" w:color="FFFFFF" w:themeColor="background2"/>
              <w:right w:val="single" w:sz="6" w:space="0" w:color="FFFFFF" w:themeColor="background2"/>
            </w:tcBorders>
            <w:shd w:val="clear" w:color="auto" w:fill="D9D9D9" w:themeFill="background1" w:themeFillShade="D9"/>
            <w:tcMar>
              <w:left w:w="105" w:type="dxa"/>
              <w:right w:w="105" w:type="dxa"/>
            </w:tcMar>
            <w:vAlign w:val="center"/>
          </w:tcPr>
          <w:p w14:paraId="45107D3E" w14:textId="223FAE10" w:rsidR="4C528AD0" w:rsidRPr="00E1357F" w:rsidRDefault="4C528AD0" w:rsidP="00E1357F">
            <w:pPr>
              <w:tabs>
                <w:tab w:val="left" w:pos="5720"/>
              </w:tabs>
              <w:spacing w:before="60" w:after="60" w:line="240" w:lineRule="auto"/>
              <w:ind w:firstLine="0"/>
              <w:rPr>
                <w:rFonts w:eastAsia="Verdana" w:cs="Verdana"/>
                <w:sz w:val="18"/>
                <w:szCs w:val="18"/>
                <w:lang w:val="pt-PT"/>
              </w:rPr>
            </w:pPr>
            <w:r w:rsidRPr="00E1357F">
              <w:rPr>
                <w:rFonts w:eastAsia="Verdana" w:cs="Verdana"/>
                <w:sz w:val="18"/>
                <w:szCs w:val="18"/>
                <w:lang w:val="pt-PT"/>
              </w:rPr>
              <w:t>Sistema concluído e certificado através de testes e demonstrações.</w:t>
            </w:r>
          </w:p>
        </w:tc>
      </w:tr>
      <w:tr w:rsidR="4C528AD0" w:rsidRPr="00C11CC2" w14:paraId="096A4B08" w14:textId="77777777" w:rsidTr="00261575">
        <w:trPr>
          <w:trHeight w:val="330"/>
          <w:jc w:val="center"/>
        </w:trPr>
        <w:tc>
          <w:tcPr>
            <w:tcW w:w="720" w:type="dxa"/>
            <w:tcBorders>
              <w:top w:val="single" w:sz="6" w:space="0" w:color="FFFFFF" w:themeColor="background2"/>
              <w:left w:val="single" w:sz="6" w:space="0" w:color="FFFFFF" w:themeColor="background2"/>
              <w:bottom w:val="single" w:sz="6" w:space="0" w:color="FFFFFF" w:themeColor="background2"/>
              <w:right w:val="single" w:sz="6" w:space="0" w:color="FFFFFF" w:themeColor="background2"/>
            </w:tcBorders>
            <w:shd w:val="clear" w:color="auto" w:fill="3CC4A4"/>
            <w:tcMar>
              <w:left w:w="105" w:type="dxa"/>
              <w:right w:w="105" w:type="dxa"/>
            </w:tcMar>
            <w:vAlign w:val="center"/>
          </w:tcPr>
          <w:p w14:paraId="224F413E" w14:textId="37BBC572" w:rsidR="4C528AD0" w:rsidRPr="00E1357F" w:rsidRDefault="4C528AD0" w:rsidP="00E1357F">
            <w:pPr>
              <w:tabs>
                <w:tab w:val="left" w:pos="5720"/>
              </w:tabs>
              <w:spacing w:before="60" w:after="60" w:line="240" w:lineRule="auto"/>
              <w:ind w:firstLine="0"/>
              <w:jc w:val="center"/>
              <w:rPr>
                <w:rFonts w:eastAsia="Verdana" w:cs="Verdana"/>
                <w:color w:val="FFFFFF" w:themeColor="background2"/>
                <w:sz w:val="18"/>
                <w:szCs w:val="18"/>
                <w:lang w:val="pt-PT"/>
              </w:rPr>
            </w:pPr>
            <w:r w:rsidRPr="00E1357F">
              <w:rPr>
                <w:rFonts w:eastAsia="Verdana" w:cs="Verdana"/>
                <w:b/>
                <w:bCs/>
                <w:color w:val="FFFFFF" w:themeColor="background2"/>
                <w:sz w:val="18"/>
                <w:szCs w:val="18"/>
                <w:lang w:val="pt-PT"/>
              </w:rPr>
              <w:t>9</w:t>
            </w:r>
          </w:p>
        </w:tc>
        <w:tc>
          <w:tcPr>
            <w:tcW w:w="7050" w:type="dxa"/>
            <w:tcBorders>
              <w:top w:val="single" w:sz="6" w:space="0" w:color="FFFFFF" w:themeColor="background2"/>
              <w:left w:val="single" w:sz="6" w:space="0" w:color="FFFFFF" w:themeColor="background2"/>
              <w:bottom w:val="single" w:sz="6" w:space="0" w:color="FFFFFF" w:themeColor="background2"/>
              <w:right w:val="single" w:sz="6" w:space="0" w:color="FFFFFF" w:themeColor="background2"/>
            </w:tcBorders>
            <w:shd w:val="clear" w:color="auto" w:fill="D9D9D9" w:themeFill="background1" w:themeFillShade="D9"/>
            <w:tcMar>
              <w:left w:w="105" w:type="dxa"/>
              <w:right w:w="105" w:type="dxa"/>
            </w:tcMar>
            <w:vAlign w:val="center"/>
          </w:tcPr>
          <w:p w14:paraId="6D14770C" w14:textId="1E592449" w:rsidR="4C528AD0" w:rsidRPr="00E1357F" w:rsidRDefault="4C528AD0" w:rsidP="00E1357F">
            <w:pPr>
              <w:tabs>
                <w:tab w:val="left" w:pos="5720"/>
              </w:tabs>
              <w:spacing w:before="60" w:after="60" w:line="240" w:lineRule="auto"/>
              <w:ind w:firstLine="0"/>
              <w:rPr>
                <w:rFonts w:eastAsia="Verdana" w:cs="Verdana"/>
                <w:sz w:val="18"/>
                <w:szCs w:val="18"/>
                <w:lang w:val="pt-PT"/>
              </w:rPr>
            </w:pPr>
            <w:r w:rsidRPr="00E1357F">
              <w:rPr>
                <w:rFonts w:eastAsia="Verdana" w:cs="Verdana"/>
                <w:sz w:val="18"/>
                <w:szCs w:val="18"/>
                <w:lang w:val="pt-PT"/>
              </w:rPr>
              <w:t>Sistema testado com sucesso em ambiente real</w:t>
            </w:r>
          </w:p>
        </w:tc>
      </w:tr>
    </w:tbl>
    <w:p w14:paraId="0C415CC1" w14:textId="768835B7" w:rsidR="000B476B" w:rsidRDefault="000B476B" w:rsidP="000B476B">
      <w:pPr>
        <w:spacing w:line="276" w:lineRule="auto"/>
        <w:ind w:firstLine="0"/>
        <w:jc w:val="center"/>
        <w:rPr>
          <w:rFonts w:eastAsia="Verdana" w:cs="Verdana"/>
          <w:color w:val="000000"/>
          <w:lang w:val="pt-PT"/>
        </w:rPr>
      </w:pPr>
      <w:r w:rsidRPr="006037A4">
        <w:rPr>
          <w:rFonts w:eastAsia="Verdana"/>
          <w:i/>
          <w:iCs/>
          <w:color w:val="4B4F54" w:themeColor="text1"/>
          <w:sz w:val="18"/>
          <w:szCs w:val="18"/>
          <w:lang w:val="pt-PT" w:eastAsia="en-US"/>
        </w:rPr>
        <w:t xml:space="preserve">Figura </w:t>
      </w:r>
      <w:r w:rsidRPr="00FF7074">
        <w:rPr>
          <w:rFonts w:eastAsia="Verdana"/>
          <w:i/>
          <w:iCs/>
          <w:color w:val="4B4F54" w:themeColor="text1"/>
          <w:sz w:val="18"/>
          <w:szCs w:val="18"/>
          <w:lang w:val="pt-PT" w:eastAsia="en-US"/>
        </w:rPr>
        <w:fldChar w:fldCharType="begin"/>
      </w:r>
      <w:r w:rsidRPr="006037A4">
        <w:rPr>
          <w:rFonts w:eastAsia="Verdana"/>
          <w:i/>
          <w:iCs/>
          <w:color w:val="4B4F54" w:themeColor="text1"/>
          <w:sz w:val="18"/>
          <w:szCs w:val="18"/>
          <w:lang w:val="pt-PT" w:eastAsia="en-US"/>
        </w:rPr>
        <w:instrText xml:space="preserve"> SEQ Figura \* ARABIC </w:instrText>
      </w:r>
      <w:r w:rsidRPr="00FF7074">
        <w:rPr>
          <w:rFonts w:eastAsia="Verdana"/>
          <w:i/>
          <w:iCs/>
          <w:color w:val="4B4F54" w:themeColor="text1"/>
          <w:sz w:val="18"/>
          <w:szCs w:val="18"/>
          <w:lang w:val="pt-PT" w:eastAsia="en-US"/>
        </w:rPr>
        <w:fldChar w:fldCharType="separate"/>
      </w:r>
      <w:r w:rsidR="008617AF">
        <w:rPr>
          <w:rFonts w:eastAsia="Verdana"/>
          <w:i/>
          <w:iCs/>
          <w:noProof/>
          <w:color w:val="4B4F54" w:themeColor="text1"/>
          <w:sz w:val="18"/>
          <w:szCs w:val="18"/>
          <w:lang w:val="pt-PT" w:eastAsia="en-US"/>
        </w:rPr>
        <w:t>13</w:t>
      </w:r>
      <w:r w:rsidRPr="00FF7074">
        <w:rPr>
          <w:rFonts w:eastAsia="Verdana"/>
          <w:i/>
          <w:iCs/>
          <w:color w:val="4B4F54" w:themeColor="text1"/>
          <w:sz w:val="18"/>
          <w:szCs w:val="18"/>
          <w:lang w:val="pt-PT" w:eastAsia="en-US"/>
        </w:rPr>
        <w:fldChar w:fldCharType="end"/>
      </w:r>
      <w:r w:rsidRPr="006037A4">
        <w:rPr>
          <w:i/>
          <w:iCs/>
          <w:color w:val="4B4F54" w:themeColor="text1"/>
          <w:sz w:val="18"/>
          <w:szCs w:val="18"/>
          <w:lang w:val="pt-PT"/>
        </w:rPr>
        <w:t>: E</w:t>
      </w:r>
      <w:r>
        <w:rPr>
          <w:i/>
          <w:iCs/>
          <w:color w:val="4B4F54" w:themeColor="text1"/>
          <w:sz w:val="18"/>
          <w:szCs w:val="18"/>
          <w:lang w:val="pt-PT"/>
        </w:rPr>
        <w:t>scala de TRL.</w:t>
      </w:r>
    </w:p>
    <w:p w14:paraId="1D56FAC1" w14:textId="18CF9DCB" w:rsidR="4C528AD0" w:rsidRPr="00DF0A7A" w:rsidRDefault="002E321B" w:rsidP="00DF0A7A">
      <w:pPr>
        <w:tabs>
          <w:tab w:val="left" w:pos="5720"/>
        </w:tabs>
        <w:spacing w:after="160" w:line="259" w:lineRule="auto"/>
        <w:ind w:firstLine="0"/>
        <w:jc w:val="center"/>
        <w:rPr>
          <w:rFonts w:eastAsia="Verdana" w:cs="Verdana"/>
          <w:i/>
          <w:iCs/>
          <w:color w:val="4B4F54" w:themeColor="text1"/>
          <w:sz w:val="16"/>
          <w:szCs w:val="16"/>
          <w:lang w:val="pt-PT"/>
        </w:rPr>
      </w:pPr>
      <w:r w:rsidRPr="00DF0A7A">
        <w:rPr>
          <w:rFonts w:eastAsia="Verdana" w:cs="Verdana"/>
          <w:i/>
          <w:iCs/>
          <w:color w:val="4B4F54" w:themeColor="text1"/>
          <w:sz w:val="16"/>
          <w:szCs w:val="16"/>
          <w:lang w:val="pt-PT"/>
        </w:rPr>
        <w:t>Fonte:</w:t>
      </w:r>
      <w:r w:rsidR="00DF0A7A" w:rsidRPr="00DF0A7A">
        <w:rPr>
          <w:rFonts w:eastAsia="Verdana" w:cs="Verdana"/>
          <w:i/>
          <w:iCs/>
          <w:color w:val="4B4F54" w:themeColor="text1"/>
          <w:sz w:val="16"/>
          <w:szCs w:val="16"/>
          <w:lang w:val="pt-PT"/>
        </w:rPr>
        <w:t xml:space="preserve"> </w:t>
      </w:r>
      <w:r w:rsidRPr="00DF0A7A">
        <w:rPr>
          <w:rFonts w:eastAsia="Verdana" w:cs="Verdana"/>
          <w:i/>
          <w:iCs/>
          <w:color w:val="4B4F54" w:themeColor="text1"/>
          <w:sz w:val="16"/>
          <w:szCs w:val="16"/>
          <w:lang w:val="pt-PT"/>
        </w:rPr>
        <w:t>https://www.nasa.gov/directorates/heo/scan/engineering/technology/technology_readiness_level</w:t>
      </w:r>
      <w:r w:rsidR="00BD665C">
        <w:rPr>
          <w:rFonts w:eastAsia="Verdana" w:cs="Verdana"/>
          <w:i/>
          <w:iCs/>
          <w:color w:val="4B4F54" w:themeColor="text1"/>
          <w:sz w:val="16"/>
          <w:szCs w:val="16"/>
          <w:lang w:val="pt-PT"/>
        </w:rPr>
        <w:t>.</w:t>
      </w:r>
    </w:p>
    <w:p w14:paraId="2BC068A3" w14:textId="77777777" w:rsidR="00DF0A7A" w:rsidRDefault="00DF0A7A" w:rsidP="4C528AD0">
      <w:pPr>
        <w:spacing w:after="160" w:line="259" w:lineRule="auto"/>
        <w:jc w:val="center"/>
        <w:rPr>
          <w:rFonts w:eastAsia="Verdana" w:cs="Verdana"/>
          <w:color w:val="2921D1"/>
          <w:lang w:val="pt-PT"/>
        </w:rPr>
      </w:pPr>
    </w:p>
    <w:p w14:paraId="142692A5" w14:textId="20D9CD8B" w:rsidR="64EC3667" w:rsidRPr="00FF7074" w:rsidRDefault="64EC3667" w:rsidP="4C528AD0">
      <w:pPr>
        <w:tabs>
          <w:tab w:val="left" w:pos="5720"/>
        </w:tabs>
        <w:spacing w:after="160" w:line="259" w:lineRule="auto"/>
        <w:jc w:val="center"/>
        <w:rPr>
          <w:rFonts w:eastAsia="Verdana" w:cs="Verdana"/>
          <w:color w:val="000000"/>
          <w:lang w:val="pt-PT"/>
        </w:rPr>
      </w:pPr>
      <w:r w:rsidRPr="00FF7074">
        <w:rPr>
          <w:noProof/>
          <w:lang w:val="pt-PT"/>
        </w:rPr>
        <w:lastRenderedPageBreak/>
        <w:drawing>
          <wp:inline distT="0" distB="0" distL="0" distR="0" wp14:anchorId="52517CBE" wp14:editId="7CF0D33D">
            <wp:extent cx="5581648" cy="3200400"/>
            <wp:effectExtent l="0" t="0" r="0" b="0"/>
            <wp:docPr id="1993488961" name="Imagem 1993488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5581648" cy="3200400"/>
                    </a:xfrm>
                    <a:prstGeom prst="rect">
                      <a:avLst/>
                    </a:prstGeom>
                  </pic:spPr>
                </pic:pic>
              </a:graphicData>
            </a:graphic>
          </wp:inline>
        </w:drawing>
      </w:r>
    </w:p>
    <w:p w14:paraId="491078AB" w14:textId="1CCACED0" w:rsidR="00BD665C" w:rsidRDefault="00BD665C" w:rsidP="00BD665C">
      <w:pPr>
        <w:spacing w:line="276" w:lineRule="auto"/>
        <w:ind w:firstLine="0"/>
        <w:jc w:val="center"/>
        <w:rPr>
          <w:rFonts w:eastAsia="Verdana" w:cs="Verdana"/>
          <w:color w:val="000000"/>
          <w:lang w:val="pt-PT"/>
        </w:rPr>
      </w:pPr>
      <w:r w:rsidRPr="006037A4">
        <w:rPr>
          <w:rFonts w:eastAsia="Verdana"/>
          <w:i/>
          <w:iCs/>
          <w:color w:val="4B4F54" w:themeColor="text1"/>
          <w:sz w:val="18"/>
          <w:szCs w:val="18"/>
          <w:lang w:val="pt-PT" w:eastAsia="en-US"/>
        </w:rPr>
        <w:t xml:space="preserve">Figura </w:t>
      </w:r>
      <w:r w:rsidRPr="00FF7074">
        <w:rPr>
          <w:rFonts w:eastAsia="Verdana"/>
          <w:i/>
          <w:iCs/>
          <w:color w:val="4B4F54" w:themeColor="text1"/>
          <w:sz w:val="18"/>
          <w:szCs w:val="18"/>
          <w:lang w:val="pt-PT" w:eastAsia="en-US"/>
        </w:rPr>
        <w:fldChar w:fldCharType="begin"/>
      </w:r>
      <w:r w:rsidRPr="006037A4">
        <w:rPr>
          <w:rFonts w:eastAsia="Verdana"/>
          <w:i/>
          <w:iCs/>
          <w:color w:val="4B4F54" w:themeColor="text1"/>
          <w:sz w:val="18"/>
          <w:szCs w:val="18"/>
          <w:lang w:val="pt-PT" w:eastAsia="en-US"/>
        </w:rPr>
        <w:instrText xml:space="preserve"> SEQ Figura \* ARABIC </w:instrText>
      </w:r>
      <w:r w:rsidRPr="00FF7074">
        <w:rPr>
          <w:rFonts w:eastAsia="Verdana"/>
          <w:i/>
          <w:iCs/>
          <w:color w:val="4B4F54" w:themeColor="text1"/>
          <w:sz w:val="18"/>
          <w:szCs w:val="18"/>
          <w:lang w:val="pt-PT" w:eastAsia="en-US"/>
        </w:rPr>
        <w:fldChar w:fldCharType="separate"/>
      </w:r>
      <w:r w:rsidR="008617AF">
        <w:rPr>
          <w:rFonts w:eastAsia="Verdana"/>
          <w:i/>
          <w:iCs/>
          <w:noProof/>
          <w:color w:val="4B4F54" w:themeColor="text1"/>
          <w:sz w:val="18"/>
          <w:szCs w:val="18"/>
          <w:lang w:val="pt-PT" w:eastAsia="en-US"/>
        </w:rPr>
        <w:t>14</w:t>
      </w:r>
      <w:r w:rsidRPr="00FF7074">
        <w:rPr>
          <w:rFonts w:eastAsia="Verdana"/>
          <w:i/>
          <w:iCs/>
          <w:color w:val="4B4F54" w:themeColor="text1"/>
          <w:sz w:val="18"/>
          <w:szCs w:val="18"/>
          <w:lang w:val="pt-PT" w:eastAsia="en-US"/>
        </w:rPr>
        <w:fldChar w:fldCharType="end"/>
      </w:r>
      <w:r w:rsidRPr="006037A4">
        <w:rPr>
          <w:i/>
          <w:iCs/>
          <w:color w:val="4B4F54" w:themeColor="text1"/>
          <w:sz w:val="18"/>
          <w:szCs w:val="18"/>
          <w:lang w:val="pt-PT"/>
        </w:rPr>
        <w:t xml:space="preserve">: </w:t>
      </w:r>
      <w:r>
        <w:rPr>
          <w:i/>
          <w:iCs/>
          <w:color w:val="4B4F54" w:themeColor="text1"/>
          <w:sz w:val="18"/>
          <w:szCs w:val="18"/>
          <w:lang w:val="pt-PT"/>
        </w:rPr>
        <w:t>R</w:t>
      </w:r>
      <w:r w:rsidRPr="00BD665C">
        <w:rPr>
          <w:i/>
          <w:iCs/>
          <w:color w:val="4B4F54" w:themeColor="text1"/>
          <w:sz w:val="18"/>
          <w:szCs w:val="18"/>
          <w:lang w:val="pt-PT"/>
        </w:rPr>
        <w:t xml:space="preserve">epresentação </w:t>
      </w:r>
      <w:r>
        <w:rPr>
          <w:i/>
          <w:iCs/>
          <w:color w:val="4B4F54" w:themeColor="text1"/>
          <w:sz w:val="18"/>
          <w:szCs w:val="18"/>
          <w:lang w:val="pt-PT"/>
        </w:rPr>
        <w:t xml:space="preserve">das etapas </w:t>
      </w:r>
      <w:r w:rsidRPr="00BD665C">
        <w:rPr>
          <w:i/>
          <w:iCs/>
          <w:color w:val="4B4F54" w:themeColor="text1"/>
          <w:sz w:val="18"/>
          <w:szCs w:val="18"/>
          <w:lang w:val="pt-PT"/>
        </w:rPr>
        <w:t>do nível de desenvolvimento</w:t>
      </w:r>
      <w:r>
        <w:rPr>
          <w:i/>
          <w:iCs/>
          <w:color w:val="4B4F54" w:themeColor="text1"/>
          <w:sz w:val="18"/>
          <w:szCs w:val="18"/>
          <w:lang w:val="pt-PT"/>
        </w:rPr>
        <w:t>.</w:t>
      </w:r>
    </w:p>
    <w:p w14:paraId="55D5DCE1" w14:textId="295147EE" w:rsidR="00BD665C" w:rsidRPr="00DF0A7A" w:rsidRDefault="00BD665C" w:rsidP="00BD665C">
      <w:pPr>
        <w:tabs>
          <w:tab w:val="left" w:pos="5720"/>
        </w:tabs>
        <w:spacing w:after="160" w:line="259" w:lineRule="auto"/>
        <w:ind w:firstLine="0"/>
        <w:jc w:val="center"/>
        <w:rPr>
          <w:rFonts w:eastAsia="Verdana" w:cs="Verdana"/>
          <w:i/>
          <w:iCs/>
          <w:color w:val="4B4F54" w:themeColor="text1"/>
          <w:sz w:val="16"/>
          <w:szCs w:val="16"/>
          <w:lang w:val="pt-PT"/>
        </w:rPr>
      </w:pPr>
      <w:r w:rsidRPr="00DF0A7A">
        <w:rPr>
          <w:rFonts w:eastAsia="Verdana" w:cs="Verdana"/>
          <w:i/>
          <w:iCs/>
          <w:color w:val="4B4F54" w:themeColor="text1"/>
          <w:sz w:val="16"/>
          <w:szCs w:val="16"/>
          <w:lang w:val="pt-PT"/>
        </w:rPr>
        <w:t xml:space="preserve">Fonte: </w:t>
      </w:r>
      <w:r w:rsidRPr="00BD665C">
        <w:rPr>
          <w:rFonts w:eastAsia="Verdana" w:cs="Verdana"/>
          <w:i/>
          <w:iCs/>
          <w:color w:val="4B4F54" w:themeColor="text1"/>
          <w:sz w:val="16"/>
          <w:szCs w:val="16"/>
          <w:lang w:val="pt-PT"/>
        </w:rPr>
        <w:t>https://alopexoninnovation.com/</w:t>
      </w:r>
      <w:r>
        <w:rPr>
          <w:rFonts w:eastAsia="Verdana" w:cs="Verdana"/>
          <w:i/>
          <w:iCs/>
          <w:color w:val="4B4F54" w:themeColor="text1"/>
          <w:sz w:val="16"/>
          <w:szCs w:val="16"/>
          <w:lang w:val="pt-PT"/>
        </w:rPr>
        <w:t>.</w:t>
      </w:r>
    </w:p>
    <w:p w14:paraId="1A302B1C" w14:textId="2FFDB546" w:rsidR="4C528AD0" w:rsidRPr="00FF7074" w:rsidRDefault="4C528AD0" w:rsidP="00265A90">
      <w:pPr>
        <w:tabs>
          <w:tab w:val="left" w:pos="5720"/>
        </w:tabs>
        <w:rPr>
          <w:rFonts w:eastAsia="Verdana" w:cs="Verdana"/>
          <w:color w:val="000000"/>
          <w:lang w:val="pt-PT"/>
        </w:rPr>
      </w:pPr>
    </w:p>
    <w:p w14:paraId="14F9E9D4" w14:textId="61553495" w:rsidR="64EC3667" w:rsidRPr="00FF7074" w:rsidRDefault="64EC3667" w:rsidP="00265A90">
      <w:pPr>
        <w:tabs>
          <w:tab w:val="left" w:pos="5720"/>
        </w:tabs>
        <w:ind w:firstLine="0"/>
        <w:rPr>
          <w:rFonts w:eastAsia="Verdana" w:cs="Verdana"/>
          <w:color w:val="000000"/>
          <w:lang w:val="pt-PT"/>
        </w:rPr>
      </w:pPr>
      <w:r w:rsidRPr="00FF7074">
        <w:rPr>
          <w:rFonts w:eastAsia="Verdana" w:cs="Verdana"/>
          <w:color w:val="000000"/>
          <w:lang w:val="pt-PT"/>
        </w:rPr>
        <w:t>Ao avaliar o potencial de uma tecnologia e a sua viabilidade comercial, deve ter-se em conta que uma tecnologia numa fase inicial de desenvolvimento implica riscos mais elevados, mais tempo e custos de desenvolvimento mais elevados.</w:t>
      </w:r>
    </w:p>
    <w:p w14:paraId="4CE5D157" w14:textId="4704486B" w:rsidR="64EC3667" w:rsidRPr="00FF7074" w:rsidRDefault="64EC3667" w:rsidP="004A05FF">
      <w:pPr>
        <w:tabs>
          <w:tab w:val="left" w:pos="5720"/>
        </w:tabs>
        <w:spacing w:after="160" w:line="259" w:lineRule="auto"/>
        <w:ind w:firstLine="0"/>
        <w:rPr>
          <w:rFonts w:eastAsia="Verdana" w:cs="Verdana"/>
          <w:color w:val="000000"/>
          <w:lang w:val="pt-PT"/>
        </w:rPr>
      </w:pPr>
    </w:p>
    <w:p w14:paraId="332D2F36" w14:textId="5AE72507" w:rsidR="64EC3667" w:rsidRPr="00234AAA" w:rsidRDefault="64EC3667" w:rsidP="00234AAA">
      <w:pPr>
        <w:spacing w:before="240" w:after="360"/>
        <w:ind w:left="567" w:hanging="567"/>
        <w:rPr>
          <w:rFonts w:asciiTheme="minorHAnsi" w:eastAsia="Verdana" w:hAnsiTheme="minorHAnsi" w:cs="Verdana"/>
          <w:b/>
          <w:bCs/>
          <w:color w:val="000000"/>
          <w:lang w:val="pt-PT"/>
        </w:rPr>
      </w:pPr>
      <w:r w:rsidRPr="00234AAA">
        <w:rPr>
          <w:rFonts w:asciiTheme="minorHAnsi" w:eastAsia="Verdana" w:hAnsiTheme="minorHAnsi" w:cs="Verdana"/>
          <w:b/>
          <w:bCs/>
          <w:color w:val="000000"/>
          <w:lang w:val="pt-PT"/>
        </w:rPr>
        <w:t>A.3</w:t>
      </w:r>
      <w:r w:rsidR="004A05FF" w:rsidRPr="00234AAA">
        <w:rPr>
          <w:rFonts w:asciiTheme="minorHAnsi" w:eastAsia="Verdana" w:hAnsiTheme="minorHAnsi" w:cs="Verdana"/>
          <w:b/>
          <w:bCs/>
          <w:color w:val="000000"/>
          <w:lang w:val="pt-PT"/>
        </w:rPr>
        <w:tab/>
      </w:r>
      <w:r w:rsidRPr="00234AAA">
        <w:rPr>
          <w:rFonts w:asciiTheme="minorHAnsi" w:eastAsia="Verdana" w:hAnsiTheme="minorHAnsi" w:cs="Verdana"/>
          <w:b/>
          <w:bCs/>
          <w:color w:val="000000"/>
          <w:lang w:val="pt-PT"/>
        </w:rPr>
        <w:t>Concorrentes e eventuais barreiras à entrada</w:t>
      </w:r>
    </w:p>
    <w:p w14:paraId="4C1B44DA" w14:textId="11DD461D" w:rsidR="64EC3667" w:rsidRPr="00261575" w:rsidRDefault="64EC3667" w:rsidP="4C528AD0">
      <w:pPr>
        <w:tabs>
          <w:tab w:val="left" w:pos="5720"/>
        </w:tabs>
        <w:spacing w:after="160"/>
        <w:ind w:firstLine="0"/>
        <w:rPr>
          <w:rFonts w:eastAsia="Verdana" w:cs="Verdana"/>
          <w:color w:val="3CC4A4"/>
          <w:lang w:val="pt-PT"/>
        </w:rPr>
      </w:pPr>
      <w:r w:rsidRPr="00261575">
        <w:rPr>
          <w:rFonts w:eastAsia="Verdana" w:cs="Verdana"/>
          <w:color w:val="3CC4A4"/>
          <w:lang w:val="pt-PT"/>
        </w:rPr>
        <w:t>Principais tecnologias concorrentes</w:t>
      </w:r>
    </w:p>
    <w:p w14:paraId="7C5F8F6F" w14:textId="77777777" w:rsidR="0025659F" w:rsidRDefault="00CC5550" w:rsidP="4C528AD0">
      <w:pPr>
        <w:tabs>
          <w:tab w:val="left" w:pos="5720"/>
        </w:tabs>
        <w:spacing w:after="160"/>
        <w:ind w:firstLine="0"/>
        <w:rPr>
          <w:rFonts w:eastAsia="Verdana" w:cs="Verdana"/>
          <w:color w:val="000000"/>
          <w:lang w:val="pt-PT"/>
        </w:rPr>
      </w:pPr>
      <w:r>
        <w:rPr>
          <w:rFonts w:eastAsia="Verdana" w:cs="Verdana"/>
          <w:color w:val="000000"/>
          <w:lang w:val="pt-PT"/>
        </w:rPr>
        <w:t>Através d</w:t>
      </w:r>
      <w:r w:rsidR="00C37D53">
        <w:rPr>
          <w:rFonts w:eastAsia="Verdana" w:cs="Verdana"/>
          <w:color w:val="000000"/>
          <w:lang w:val="pt-PT"/>
        </w:rPr>
        <w:t xml:space="preserve">e pesquisas ao estado da técnica, é possível identificar os documentos </w:t>
      </w:r>
      <w:r w:rsidR="006E7BAF">
        <w:rPr>
          <w:rFonts w:eastAsia="Verdana" w:cs="Verdana"/>
          <w:color w:val="000000"/>
          <w:lang w:val="pt-PT"/>
        </w:rPr>
        <w:t xml:space="preserve">de patentes mais relevantes na área tecnológica afim à tecnologia </w:t>
      </w:r>
      <w:r w:rsidR="0025659F">
        <w:rPr>
          <w:rFonts w:eastAsia="Verdana" w:cs="Verdana"/>
          <w:color w:val="000000"/>
          <w:lang w:val="pt-PT"/>
        </w:rPr>
        <w:t>de interesse.</w:t>
      </w:r>
    </w:p>
    <w:p w14:paraId="15FD1F99" w14:textId="1B3F6E66" w:rsidR="64EC3667" w:rsidRPr="00FF7074" w:rsidRDefault="0025659F" w:rsidP="009B2F6F">
      <w:pPr>
        <w:tabs>
          <w:tab w:val="left" w:pos="5720"/>
        </w:tabs>
        <w:spacing w:after="160"/>
        <w:ind w:firstLine="0"/>
        <w:rPr>
          <w:rFonts w:eastAsia="Verdana" w:cs="Verdana"/>
          <w:color w:val="000000"/>
          <w:lang w:val="pt-PT"/>
        </w:rPr>
      </w:pPr>
      <w:r>
        <w:rPr>
          <w:rFonts w:eastAsia="Verdana" w:cs="Verdana"/>
          <w:color w:val="000000"/>
          <w:lang w:val="pt-PT"/>
        </w:rPr>
        <w:t xml:space="preserve">A identificação e seleção destes documentos permite a análise comparativa </w:t>
      </w:r>
      <w:r w:rsidR="00E65807">
        <w:rPr>
          <w:rFonts w:eastAsia="Verdana" w:cs="Verdana"/>
          <w:color w:val="000000"/>
          <w:lang w:val="pt-PT"/>
        </w:rPr>
        <w:t>de características técnicas e a possibilidade de quais as vantagens tecnológicas competitivas do projeto de I&amp;D frente às já existentes</w:t>
      </w:r>
      <w:r w:rsidR="009B2F6F">
        <w:rPr>
          <w:rFonts w:eastAsia="Verdana" w:cs="Verdana"/>
          <w:color w:val="000000"/>
          <w:lang w:val="pt-PT"/>
        </w:rPr>
        <w:t>.</w:t>
      </w:r>
    </w:p>
    <w:p w14:paraId="349CF84D" w14:textId="57E437AB" w:rsidR="64EC3667" w:rsidRPr="00FF7074" w:rsidRDefault="008E57B0" w:rsidP="4C528AD0">
      <w:pPr>
        <w:tabs>
          <w:tab w:val="left" w:pos="5720"/>
        </w:tabs>
        <w:spacing w:after="160"/>
        <w:ind w:firstLine="0"/>
        <w:rPr>
          <w:rFonts w:eastAsia="Verdana" w:cs="Verdana"/>
          <w:color w:val="000000"/>
          <w:lang w:val="pt-PT"/>
        </w:rPr>
      </w:pPr>
      <w:r>
        <w:rPr>
          <w:rFonts w:eastAsia="Verdana" w:cs="Verdana"/>
          <w:color w:val="000000"/>
          <w:lang w:val="pt-PT"/>
        </w:rPr>
        <w:t>Adicionalmente,</w:t>
      </w:r>
      <w:r w:rsidR="003F7290">
        <w:rPr>
          <w:rFonts w:eastAsia="Verdana" w:cs="Verdana"/>
          <w:color w:val="000000"/>
          <w:lang w:val="pt-PT"/>
        </w:rPr>
        <w:t xml:space="preserve"> através d</w:t>
      </w:r>
      <w:r w:rsidR="007556E0">
        <w:rPr>
          <w:rFonts w:eastAsia="Verdana" w:cs="Verdana"/>
          <w:color w:val="000000"/>
          <w:lang w:val="pt-PT"/>
        </w:rPr>
        <w:t xml:space="preserve">os resultados </w:t>
      </w:r>
      <w:r w:rsidR="002234E4">
        <w:rPr>
          <w:rFonts w:eastAsia="Verdana" w:cs="Verdana"/>
          <w:color w:val="000000"/>
          <w:lang w:val="pt-PT"/>
        </w:rPr>
        <w:t>obtidos da pesquisa</w:t>
      </w:r>
      <w:r w:rsidR="003F7290">
        <w:rPr>
          <w:rFonts w:eastAsia="Verdana" w:cs="Verdana"/>
          <w:color w:val="000000"/>
          <w:lang w:val="pt-PT"/>
        </w:rPr>
        <w:t xml:space="preserve"> é possível identificar quais os </w:t>
      </w:r>
      <w:r w:rsidR="64EC3667" w:rsidRPr="00FF7074">
        <w:rPr>
          <w:rFonts w:eastAsia="Verdana" w:cs="Verdana"/>
          <w:b/>
          <w:bCs/>
          <w:color w:val="000000"/>
          <w:lang w:val="pt-PT"/>
        </w:rPr>
        <w:t>concorrentes da nossa tecnologia</w:t>
      </w:r>
      <w:r w:rsidR="64EC3667" w:rsidRPr="00FF7074">
        <w:rPr>
          <w:rFonts w:eastAsia="Verdana" w:cs="Verdana"/>
          <w:color w:val="000000"/>
          <w:lang w:val="pt-PT"/>
        </w:rPr>
        <w:t>, que nos permitem analisar as entidades envolvidas no domínio tecnológico de interesse, a sua posição relativa e absoluta e a sua natureza (empresas, institutos de I&amp;D ou universidades ou inventores individuais), a fim de compreender o perfil e a dinâmica competitiva do domínio de estudo.</w:t>
      </w:r>
    </w:p>
    <w:p w14:paraId="2DACF740" w14:textId="6D8344FB" w:rsidR="64EC3667" w:rsidRPr="00FF7074" w:rsidRDefault="64EC3667" w:rsidP="4C528AD0">
      <w:pPr>
        <w:tabs>
          <w:tab w:val="left" w:pos="5720"/>
        </w:tabs>
        <w:spacing w:after="160"/>
        <w:ind w:firstLine="0"/>
        <w:rPr>
          <w:rFonts w:eastAsia="Verdana" w:cs="Verdana"/>
          <w:color w:val="000000"/>
          <w:lang w:val="pt-PT"/>
        </w:rPr>
      </w:pPr>
      <w:r w:rsidRPr="00FF7074">
        <w:rPr>
          <w:rFonts w:eastAsia="Verdana" w:cs="Verdana"/>
          <w:color w:val="000000"/>
          <w:lang w:val="pt-PT"/>
        </w:rPr>
        <w:lastRenderedPageBreak/>
        <w:t>A análise das entidades participantes permite-nos identificar:</w:t>
      </w:r>
    </w:p>
    <w:p w14:paraId="335895E2" w14:textId="0BEAF44C" w:rsidR="64EC3667" w:rsidRPr="00FF7074" w:rsidRDefault="64EC3667" w:rsidP="00BB43B5">
      <w:pPr>
        <w:pStyle w:val="PargrafodaLista"/>
        <w:numPr>
          <w:ilvl w:val="0"/>
          <w:numId w:val="10"/>
        </w:numPr>
        <w:tabs>
          <w:tab w:val="left" w:pos="5720"/>
        </w:tabs>
        <w:spacing w:after="160"/>
        <w:rPr>
          <w:rFonts w:eastAsia="Verdana" w:cs="Verdana"/>
          <w:lang w:val="pt-PT"/>
        </w:rPr>
      </w:pPr>
      <w:r w:rsidRPr="00FF7074">
        <w:rPr>
          <w:rFonts w:eastAsia="Verdana" w:cs="Verdana"/>
          <w:lang w:val="pt-PT"/>
        </w:rPr>
        <w:t xml:space="preserve">Quem são as principais empresas e instituições </w:t>
      </w:r>
      <w:r w:rsidR="00611DA0" w:rsidRPr="00FF7074">
        <w:rPr>
          <w:rFonts w:eastAsia="Verdana" w:cs="Verdana"/>
          <w:lang w:val="pt-PT"/>
        </w:rPr>
        <w:t>ativas</w:t>
      </w:r>
      <w:r w:rsidRPr="00FF7074">
        <w:rPr>
          <w:rFonts w:eastAsia="Verdana" w:cs="Verdana"/>
          <w:lang w:val="pt-PT"/>
        </w:rPr>
        <w:t xml:space="preserve"> no domínio tecnológico analisado?</w:t>
      </w:r>
    </w:p>
    <w:p w14:paraId="102D6A07" w14:textId="637C10CD" w:rsidR="64EC3667" w:rsidRPr="00FF7074" w:rsidRDefault="64EC3667" w:rsidP="00BB43B5">
      <w:pPr>
        <w:pStyle w:val="PargrafodaLista"/>
        <w:numPr>
          <w:ilvl w:val="0"/>
          <w:numId w:val="10"/>
        </w:numPr>
        <w:tabs>
          <w:tab w:val="left" w:pos="5720"/>
        </w:tabs>
        <w:spacing w:after="160"/>
        <w:rPr>
          <w:rFonts w:eastAsia="Verdana" w:cs="Verdana"/>
          <w:lang w:val="pt-PT"/>
        </w:rPr>
      </w:pPr>
      <w:r w:rsidRPr="00FF7074">
        <w:rPr>
          <w:rFonts w:eastAsia="Verdana" w:cs="Verdana"/>
          <w:lang w:val="pt-PT"/>
        </w:rPr>
        <w:t xml:space="preserve">O que estão a fazer os concorrentes mais </w:t>
      </w:r>
      <w:r w:rsidR="00611DA0" w:rsidRPr="00FF7074">
        <w:rPr>
          <w:rFonts w:eastAsia="Verdana" w:cs="Verdana"/>
          <w:lang w:val="pt-PT"/>
        </w:rPr>
        <w:t>ativos</w:t>
      </w:r>
      <w:r w:rsidRPr="00FF7074">
        <w:rPr>
          <w:rFonts w:eastAsia="Verdana" w:cs="Verdana"/>
          <w:lang w:val="pt-PT"/>
        </w:rPr>
        <w:t xml:space="preserve"> e com maior impacto tecnológico, detalhando as linhas de I&amp;D empreendidas por cada um deles.</w:t>
      </w:r>
    </w:p>
    <w:p w14:paraId="6D7FB310" w14:textId="6B27D1E9" w:rsidR="64EC3667" w:rsidRPr="00FF7074" w:rsidRDefault="64EC3667" w:rsidP="00BB43B5">
      <w:pPr>
        <w:pStyle w:val="PargrafodaLista"/>
        <w:numPr>
          <w:ilvl w:val="0"/>
          <w:numId w:val="10"/>
        </w:numPr>
        <w:tabs>
          <w:tab w:val="left" w:pos="5720"/>
        </w:tabs>
        <w:spacing w:after="160"/>
        <w:rPr>
          <w:rFonts w:eastAsia="Verdana" w:cs="Verdana"/>
          <w:lang w:val="pt-PT"/>
        </w:rPr>
      </w:pPr>
      <w:r w:rsidRPr="00FF7074">
        <w:rPr>
          <w:rFonts w:eastAsia="Verdana" w:cs="Verdana"/>
          <w:lang w:val="pt-PT"/>
        </w:rPr>
        <w:t xml:space="preserve">Com quem cooperam os principais concorrentes </w:t>
      </w:r>
    </w:p>
    <w:p w14:paraId="6FDC8671" w14:textId="77109AC8" w:rsidR="64EC3667" w:rsidRPr="00FF7074" w:rsidRDefault="64EC3667" w:rsidP="00BB43B5">
      <w:pPr>
        <w:pStyle w:val="PargrafodaLista"/>
        <w:numPr>
          <w:ilvl w:val="0"/>
          <w:numId w:val="10"/>
        </w:numPr>
        <w:tabs>
          <w:tab w:val="left" w:pos="5720"/>
        </w:tabs>
        <w:spacing w:after="160"/>
        <w:rPr>
          <w:rFonts w:eastAsia="Verdana" w:cs="Verdana"/>
          <w:lang w:val="pt-PT"/>
        </w:rPr>
      </w:pPr>
      <w:r w:rsidRPr="00FF7074">
        <w:rPr>
          <w:rFonts w:eastAsia="Verdana" w:cs="Verdana"/>
          <w:lang w:val="pt-PT"/>
        </w:rPr>
        <w:t>Quais são as inter-relações entre as principais empresas e instituições?</w:t>
      </w:r>
    </w:p>
    <w:p w14:paraId="483E3971" w14:textId="63DB2911" w:rsidR="64EC3667" w:rsidRPr="00FF7074" w:rsidRDefault="64EC3667" w:rsidP="4C528AD0">
      <w:pPr>
        <w:tabs>
          <w:tab w:val="left" w:pos="5720"/>
        </w:tabs>
        <w:spacing w:after="160" w:line="259" w:lineRule="auto"/>
        <w:ind w:firstLine="0"/>
        <w:rPr>
          <w:rFonts w:eastAsia="Verdana" w:cs="Verdana"/>
          <w:color w:val="000000"/>
          <w:lang w:val="pt-PT"/>
        </w:rPr>
      </w:pPr>
      <w:r w:rsidRPr="00FF7074">
        <w:rPr>
          <w:noProof/>
          <w:lang w:val="pt-PT"/>
        </w:rPr>
        <w:drawing>
          <wp:inline distT="0" distB="0" distL="0" distR="0" wp14:anchorId="069B5A8E" wp14:editId="4A1B57A6">
            <wp:extent cx="5819776" cy="2686050"/>
            <wp:effectExtent l="0" t="0" r="0" b="0"/>
            <wp:docPr id="929810662" name="Imagem 929810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5819776" cy="2686050"/>
                    </a:xfrm>
                    <a:prstGeom prst="rect">
                      <a:avLst/>
                    </a:prstGeom>
                  </pic:spPr>
                </pic:pic>
              </a:graphicData>
            </a:graphic>
          </wp:inline>
        </w:drawing>
      </w:r>
    </w:p>
    <w:p w14:paraId="38A6C36D" w14:textId="0DD976E3" w:rsidR="4C528AD0" w:rsidRPr="00FF7074" w:rsidRDefault="4C528AD0" w:rsidP="4C528AD0">
      <w:pPr>
        <w:tabs>
          <w:tab w:val="left" w:pos="5720"/>
        </w:tabs>
        <w:spacing w:after="160" w:line="259" w:lineRule="auto"/>
        <w:jc w:val="center"/>
        <w:rPr>
          <w:rFonts w:eastAsia="Verdana" w:cs="Verdana"/>
          <w:color w:val="000000"/>
          <w:lang w:val="pt-PT"/>
        </w:rPr>
      </w:pPr>
    </w:p>
    <w:p w14:paraId="6F020D45" w14:textId="7770EB8F" w:rsidR="64EC3667" w:rsidRPr="00261575" w:rsidRDefault="64EC3667" w:rsidP="00611DA0">
      <w:pPr>
        <w:tabs>
          <w:tab w:val="left" w:pos="5720"/>
        </w:tabs>
        <w:spacing w:after="160"/>
        <w:ind w:firstLine="0"/>
        <w:rPr>
          <w:rFonts w:eastAsia="Verdana" w:cs="Verdana"/>
          <w:color w:val="3CC4A4"/>
          <w:lang w:val="pt-PT"/>
        </w:rPr>
      </w:pPr>
      <w:r w:rsidRPr="00261575">
        <w:rPr>
          <w:rFonts w:eastAsia="Verdana" w:cs="Verdana"/>
          <w:color w:val="3CC4A4"/>
          <w:lang w:val="pt-PT"/>
        </w:rPr>
        <w:t>Possíveis barreiras à entrada</w:t>
      </w:r>
    </w:p>
    <w:p w14:paraId="186049AE" w14:textId="189600C2" w:rsidR="64EC3667" w:rsidRPr="001F765D" w:rsidRDefault="64EC3667" w:rsidP="4C528AD0">
      <w:pPr>
        <w:tabs>
          <w:tab w:val="left" w:pos="5720"/>
        </w:tabs>
        <w:spacing w:after="160"/>
        <w:ind w:firstLine="0"/>
        <w:rPr>
          <w:rFonts w:eastAsia="Verdana" w:cs="Verdana"/>
          <w:color w:val="000000"/>
          <w:lang w:val="pt-PT"/>
        </w:rPr>
      </w:pPr>
      <w:r w:rsidRPr="00FF7074">
        <w:rPr>
          <w:rFonts w:eastAsia="Verdana" w:cs="Verdana"/>
          <w:color w:val="000000"/>
          <w:lang w:val="pt-PT"/>
        </w:rPr>
        <w:t xml:space="preserve">Em estreita relação com a etapa anterior, para avaliar a entrada da nossa tecnologia no mercado, teremos de ter em conta a informação obtida sobre as tecnologias existentes no </w:t>
      </w:r>
      <w:r w:rsidRPr="001F765D">
        <w:rPr>
          <w:rFonts w:eastAsia="Verdana" w:cs="Verdana"/>
          <w:color w:val="000000"/>
          <w:lang w:val="pt-PT"/>
        </w:rPr>
        <w:t>mercado que ocupam o mesmo nicho e qual a proposta de valor da nossa tecnologia, situando a nossa tecnologia em relação à existente e avaliando as diferentes aplicações da nossa tecnologia.</w:t>
      </w:r>
    </w:p>
    <w:p w14:paraId="5C48A2F5" w14:textId="02C65697" w:rsidR="64EC3667" w:rsidRPr="00FF7074" w:rsidRDefault="64EC3667" w:rsidP="4C528AD0">
      <w:pPr>
        <w:tabs>
          <w:tab w:val="left" w:pos="5720"/>
        </w:tabs>
        <w:spacing w:after="160"/>
        <w:ind w:firstLine="0"/>
        <w:rPr>
          <w:rFonts w:eastAsia="Verdana" w:cs="Verdana"/>
          <w:color w:val="000000"/>
          <w:lang w:val="pt-PT"/>
        </w:rPr>
      </w:pPr>
      <w:r w:rsidRPr="00FF7074">
        <w:rPr>
          <w:rFonts w:eastAsia="Verdana" w:cs="Verdana"/>
          <w:color w:val="000000"/>
          <w:lang w:val="pt-PT"/>
        </w:rPr>
        <w:t>Além disso, há que ter em conta que a comercialização de uma invenção implica um investimento considerável de tempo e de recursos. O risco de ser bloqueado por fabricar, utilizar, vender ou importar uma</w:t>
      </w:r>
      <w:r w:rsidR="009E5B96">
        <w:rPr>
          <w:rFonts w:eastAsia="Verdana" w:cs="Verdana"/>
          <w:color w:val="000000"/>
          <w:lang w:val="pt-PT"/>
        </w:rPr>
        <w:t xml:space="preserve"> nova solução tecnológica </w:t>
      </w:r>
      <w:r w:rsidRPr="00FF7074">
        <w:rPr>
          <w:rFonts w:eastAsia="Verdana" w:cs="Verdana"/>
          <w:color w:val="000000"/>
          <w:lang w:val="pt-PT"/>
        </w:rPr>
        <w:t>é cada vez mais elevado, especialmente em sectores de PI intensiva.</w:t>
      </w:r>
    </w:p>
    <w:p w14:paraId="65055C7B" w14:textId="00537FB4" w:rsidR="64EC3667" w:rsidRPr="00FF7074" w:rsidRDefault="64EC3667" w:rsidP="4C528AD0">
      <w:pPr>
        <w:tabs>
          <w:tab w:val="left" w:pos="5720"/>
        </w:tabs>
        <w:spacing w:after="160"/>
        <w:ind w:firstLine="0"/>
        <w:rPr>
          <w:rFonts w:eastAsia="Verdana" w:cs="Verdana"/>
          <w:color w:val="000000"/>
          <w:lang w:val="pt-PT"/>
        </w:rPr>
      </w:pPr>
      <w:r w:rsidRPr="00FF7074">
        <w:rPr>
          <w:rFonts w:eastAsia="Verdana" w:cs="Verdana"/>
          <w:color w:val="000000"/>
          <w:lang w:val="pt-PT"/>
        </w:rPr>
        <w:t xml:space="preserve">Por conseguinte, é desejável minimizar o risco de infração dos direitos de PI de terceiros. Para tal, é aconselhável dispor de um </w:t>
      </w:r>
      <w:r w:rsidRPr="00FF7074">
        <w:rPr>
          <w:rFonts w:eastAsia="Verdana" w:cs="Verdana"/>
          <w:b/>
          <w:bCs/>
          <w:color w:val="000000"/>
          <w:lang w:val="pt-PT"/>
        </w:rPr>
        <w:t xml:space="preserve">relatório de liberdade de operação (FTO) </w:t>
      </w:r>
      <w:r w:rsidRPr="00FF7074">
        <w:rPr>
          <w:rFonts w:eastAsia="Verdana" w:cs="Verdana"/>
          <w:color w:val="000000"/>
          <w:lang w:val="pt-PT"/>
        </w:rPr>
        <w:t xml:space="preserve">que </w:t>
      </w:r>
      <w:r w:rsidRPr="00FF7074">
        <w:rPr>
          <w:rFonts w:eastAsia="Verdana" w:cs="Verdana"/>
          <w:color w:val="000000"/>
          <w:lang w:val="pt-PT"/>
        </w:rPr>
        <w:lastRenderedPageBreak/>
        <w:t>forneça um parecer</w:t>
      </w:r>
      <w:r w:rsidR="00DC0BCA">
        <w:rPr>
          <w:rFonts w:eastAsia="Verdana" w:cs="Verdana"/>
          <w:color w:val="000000"/>
          <w:lang w:val="pt-PT"/>
        </w:rPr>
        <w:t xml:space="preserve"> técnico-</w:t>
      </w:r>
      <w:r w:rsidRPr="00FF7074">
        <w:rPr>
          <w:rFonts w:eastAsia="Verdana" w:cs="Verdana"/>
          <w:color w:val="000000"/>
          <w:lang w:val="pt-PT"/>
        </w:rPr>
        <w:t xml:space="preserve">jurídico sobre </w:t>
      </w:r>
      <w:r w:rsidR="00DC0BCA">
        <w:rPr>
          <w:rFonts w:eastAsia="Verdana" w:cs="Verdana"/>
          <w:color w:val="000000"/>
          <w:lang w:val="pt-PT"/>
        </w:rPr>
        <w:t xml:space="preserve">o risco de </w:t>
      </w:r>
      <w:r w:rsidRPr="00FF7074">
        <w:rPr>
          <w:rFonts w:eastAsia="Verdana" w:cs="Verdana"/>
          <w:color w:val="000000"/>
          <w:lang w:val="pt-PT"/>
        </w:rPr>
        <w:t xml:space="preserve">infração </w:t>
      </w:r>
      <w:r w:rsidR="00DC0BCA">
        <w:rPr>
          <w:rFonts w:eastAsia="Verdana" w:cs="Verdana"/>
          <w:color w:val="000000"/>
          <w:lang w:val="pt-PT"/>
        </w:rPr>
        <w:t xml:space="preserve">de direitos de PI de terceiros, </w:t>
      </w:r>
      <w:r w:rsidRPr="00FF7074">
        <w:rPr>
          <w:rFonts w:eastAsia="Verdana" w:cs="Verdana"/>
          <w:color w:val="000000"/>
          <w:lang w:val="pt-PT"/>
        </w:rPr>
        <w:t xml:space="preserve">numa determinada jurisdição e </w:t>
      </w:r>
      <w:proofErr w:type="gramStart"/>
      <w:r w:rsidRPr="00FF7074">
        <w:rPr>
          <w:rFonts w:eastAsia="Verdana" w:cs="Verdana"/>
          <w:color w:val="000000"/>
          <w:lang w:val="pt-PT"/>
        </w:rPr>
        <w:t>período de tempo</w:t>
      </w:r>
      <w:proofErr w:type="gramEnd"/>
      <w:r w:rsidRPr="00FF7074">
        <w:rPr>
          <w:rFonts w:eastAsia="Verdana" w:cs="Verdana"/>
          <w:color w:val="000000"/>
          <w:lang w:val="pt-PT"/>
        </w:rPr>
        <w:t xml:space="preserve">. </w:t>
      </w:r>
    </w:p>
    <w:p w14:paraId="2D2D6EE6" w14:textId="073BECEE" w:rsidR="64EC3667" w:rsidRPr="00FF7074" w:rsidRDefault="64EC3667" w:rsidP="4C528AD0">
      <w:pPr>
        <w:tabs>
          <w:tab w:val="left" w:pos="5720"/>
        </w:tabs>
        <w:spacing w:after="160"/>
        <w:ind w:firstLine="0"/>
        <w:rPr>
          <w:rFonts w:eastAsia="Verdana" w:cs="Verdana"/>
          <w:color w:val="000000"/>
          <w:lang w:val="pt-PT"/>
        </w:rPr>
      </w:pPr>
      <w:r w:rsidRPr="00FF7074">
        <w:rPr>
          <w:rFonts w:eastAsia="Verdana" w:cs="Verdana"/>
          <w:color w:val="000000"/>
          <w:lang w:val="pt-PT"/>
        </w:rPr>
        <w:t>O parecer do FTO é fundamentado e calculado, com base em fundamentos técnicos, sobre se a produção, utilização, venda ou importação de um produto numa determinada área geográfica pode infringir os direitos de propriedade intelectual (PI) de terceiros.</w:t>
      </w:r>
    </w:p>
    <w:p w14:paraId="3F9639F8" w14:textId="37A40623" w:rsidR="64EC3667" w:rsidRPr="00FF7074" w:rsidRDefault="64EC3667" w:rsidP="4C528AD0">
      <w:pPr>
        <w:tabs>
          <w:tab w:val="left" w:pos="5720"/>
        </w:tabs>
        <w:spacing w:after="160"/>
        <w:ind w:firstLine="0"/>
        <w:rPr>
          <w:rFonts w:eastAsia="Verdana" w:cs="Verdana"/>
          <w:color w:val="000000"/>
          <w:lang w:val="pt-PT"/>
        </w:rPr>
      </w:pPr>
      <w:r w:rsidRPr="00C26395">
        <w:rPr>
          <w:rFonts w:eastAsia="Verdana" w:cs="Verdana"/>
          <w:color w:val="000000"/>
          <w:lang w:val="pt-PT"/>
        </w:rPr>
        <w:t>Os passos</w:t>
      </w:r>
      <w:r w:rsidRPr="00FF7074">
        <w:rPr>
          <w:rFonts w:eastAsia="Verdana" w:cs="Verdana"/>
          <w:b/>
          <w:bCs/>
          <w:color w:val="000000"/>
          <w:lang w:val="pt-PT"/>
        </w:rPr>
        <w:t xml:space="preserve"> </w:t>
      </w:r>
      <w:r w:rsidRPr="00FF7074">
        <w:rPr>
          <w:rFonts w:eastAsia="Verdana" w:cs="Verdana"/>
          <w:color w:val="000000"/>
          <w:lang w:val="pt-PT"/>
        </w:rPr>
        <w:t>seguintes devem ser seguidos para a preparação de um relatório FTO:</w:t>
      </w:r>
    </w:p>
    <w:p w14:paraId="1348DDB1" w14:textId="5075B448" w:rsidR="64EC3667" w:rsidRPr="00FF7074" w:rsidRDefault="64EC3667" w:rsidP="4C528AD0">
      <w:pPr>
        <w:tabs>
          <w:tab w:val="left" w:pos="5720"/>
        </w:tabs>
        <w:spacing w:after="160"/>
        <w:ind w:left="900" w:hanging="270"/>
        <w:rPr>
          <w:rFonts w:eastAsia="Verdana" w:cs="Verdana"/>
          <w:color w:val="000000"/>
          <w:lang w:val="pt-PT"/>
        </w:rPr>
      </w:pPr>
      <w:r w:rsidRPr="00FF7074">
        <w:rPr>
          <w:rFonts w:eastAsia="Verdana" w:cs="Verdana"/>
          <w:color w:val="000000"/>
          <w:lang w:val="pt-PT"/>
        </w:rPr>
        <w:t xml:space="preserve">1. Uma </w:t>
      </w:r>
      <w:r w:rsidRPr="00FF7074">
        <w:rPr>
          <w:rFonts w:eastAsia="Verdana" w:cs="Verdana"/>
          <w:b/>
          <w:bCs/>
          <w:color w:val="000000"/>
          <w:lang w:val="pt-PT"/>
        </w:rPr>
        <w:t>pesquisa avançada de patentes nas bases de dados P</w:t>
      </w:r>
      <w:r w:rsidR="00C26395">
        <w:rPr>
          <w:rFonts w:eastAsia="Verdana" w:cs="Verdana"/>
          <w:b/>
          <w:bCs/>
          <w:color w:val="000000"/>
          <w:lang w:val="pt-PT"/>
        </w:rPr>
        <w:t>I</w:t>
      </w:r>
      <w:r w:rsidRPr="00FF7074">
        <w:rPr>
          <w:rFonts w:eastAsia="Verdana" w:cs="Verdana"/>
          <w:b/>
          <w:bCs/>
          <w:color w:val="000000"/>
          <w:lang w:val="pt-PT"/>
        </w:rPr>
        <w:t xml:space="preserve"> </w:t>
      </w:r>
      <w:r w:rsidRPr="00FF7074">
        <w:rPr>
          <w:rFonts w:eastAsia="Verdana" w:cs="Verdana"/>
          <w:color w:val="000000"/>
          <w:lang w:val="pt-PT"/>
        </w:rPr>
        <w:t>no território de interesse</w:t>
      </w:r>
      <w:r w:rsidR="00C26395">
        <w:rPr>
          <w:rFonts w:eastAsia="Verdana" w:cs="Verdana"/>
          <w:color w:val="000000"/>
          <w:lang w:val="pt-PT"/>
        </w:rPr>
        <w:t>.</w:t>
      </w:r>
    </w:p>
    <w:p w14:paraId="0B6293B6" w14:textId="0FB25571" w:rsidR="64EC3667" w:rsidRPr="00FF7074" w:rsidRDefault="64EC3667" w:rsidP="4C528AD0">
      <w:pPr>
        <w:tabs>
          <w:tab w:val="left" w:pos="5720"/>
        </w:tabs>
        <w:spacing w:after="160"/>
        <w:ind w:left="900" w:hanging="270"/>
        <w:rPr>
          <w:rFonts w:eastAsia="Verdana" w:cs="Verdana"/>
          <w:color w:val="000000"/>
          <w:lang w:val="pt-PT"/>
        </w:rPr>
      </w:pPr>
      <w:r w:rsidRPr="00FF7074">
        <w:rPr>
          <w:rFonts w:eastAsia="Verdana" w:cs="Verdana"/>
          <w:color w:val="000000"/>
          <w:lang w:val="pt-PT"/>
        </w:rPr>
        <w:t xml:space="preserve">2. </w:t>
      </w:r>
      <w:r w:rsidRPr="00FF7074">
        <w:rPr>
          <w:rFonts w:eastAsia="Verdana" w:cs="Verdana"/>
          <w:b/>
          <w:bCs/>
          <w:color w:val="000000"/>
          <w:lang w:val="pt-PT"/>
        </w:rPr>
        <w:t xml:space="preserve">Analisar o seu estatuto jurídico e técnico para </w:t>
      </w:r>
      <w:r w:rsidR="000D6601">
        <w:rPr>
          <w:rFonts w:eastAsia="Verdana" w:cs="Verdana"/>
          <w:color w:val="000000"/>
          <w:lang w:val="pt-PT"/>
        </w:rPr>
        <w:t xml:space="preserve">aferir o potencial de </w:t>
      </w:r>
      <w:r w:rsidRPr="00FF7074">
        <w:rPr>
          <w:rFonts w:eastAsia="Verdana" w:cs="Verdana"/>
          <w:color w:val="000000"/>
          <w:lang w:val="pt-PT"/>
        </w:rPr>
        <w:t>infração se a</w:t>
      </w:r>
      <w:r w:rsidR="000D6601">
        <w:rPr>
          <w:rFonts w:eastAsia="Verdana" w:cs="Verdana"/>
          <w:color w:val="000000"/>
          <w:lang w:val="pt-PT"/>
        </w:rPr>
        <w:t xml:space="preserve"> nova solução tecnológica</w:t>
      </w:r>
      <w:r w:rsidRPr="00FF7074">
        <w:rPr>
          <w:rFonts w:eastAsia="Verdana" w:cs="Verdana"/>
          <w:color w:val="000000"/>
          <w:lang w:val="pt-PT"/>
        </w:rPr>
        <w:t xml:space="preserve"> for comercializada.</w:t>
      </w:r>
    </w:p>
    <w:p w14:paraId="3CC6D522" w14:textId="06E9F3D6" w:rsidR="64EC3667" w:rsidRPr="00FF7074" w:rsidRDefault="64EC3667" w:rsidP="4C528AD0">
      <w:pPr>
        <w:tabs>
          <w:tab w:val="left" w:pos="5720"/>
        </w:tabs>
        <w:spacing w:after="160"/>
        <w:ind w:left="900" w:hanging="270"/>
        <w:rPr>
          <w:rFonts w:eastAsia="Verdana" w:cs="Verdana"/>
          <w:color w:val="000000"/>
          <w:lang w:val="pt-PT"/>
        </w:rPr>
      </w:pPr>
      <w:r w:rsidRPr="00FF7074">
        <w:rPr>
          <w:rFonts w:eastAsia="Verdana" w:cs="Verdana"/>
          <w:color w:val="000000"/>
          <w:lang w:val="pt-PT"/>
        </w:rPr>
        <w:t xml:space="preserve">3. </w:t>
      </w:r>
      <w:r w:rsidRPr="00FF7074">
        <w:rPr>
          <w:rFonts w:eastAsia="Verdana" w:cs="Verdana"/>
          <w:b/>
          <w:bCs/>
          <w:color w:val="000000"/>
          <w:lang w:val="pt-PT"/>
        </w:rPr>
        <w:t>Tomada de decisões estratégicas sobre a comercialização</w:t>
      </w:r>
      <w:r w:rsidRPr="00FF7074">
        <w:rPr>
          <w:rFonts w:eastAsia="Verdana" w:cs="Verdana"/>
          <w:color w:val="000000"/>
          <w:lang w:val="pt-PT"/>
        </w:rPr>
        <w:t xml:space="preserve">: no caso de a pesquisa concluir que existe uma ou mais patentes que limitam a livre exploração da nossa tecnologia, devem ser tomadas decisões comerciais: solicitar uma pesquisa de invalidade para analisar a possibilidade de invalidar a(s) patente(s) bloqueadora(s), iniciar </w:t>
      </w:r>
      <w:r w:rsidR="00F85EEA" w:rsidRPr="00FF7074">
        <w:rPr>
          <w:rFonts w:eastAsia="Verdana" w:cs="Verdana"/>
          <w:color w:val="000000"/>
          <w:lang w:val="pt-PT"/>
        </w:rPr>
        <w:t>atividades</w:t>
      </w:r>
      <w:r w:rsidRPr="00FF7074">
        <w:rPr>
          <w:rFonts w:eastAsia="Verdana" w:cs="Verdana"/>
          <w:color w:val="000000"/>
          <w:lang w:val="pt-PT"/>
        </w:rPr>
        <w:t xml:space="preserve"> de conceção e investigação para fazer alterações ao produto ou processo para evitar infringir a(s) patente(s) detida(s) por outros, adquirir a licença de patente ou negociar licenças cruzadas, ou seja, fazer uma troca de licenças para poder utilizar certas patentes da outra parte.</w:t>
      </w:r>
    </w:p>
    <w:p w14:paraId="704344CF" w14:textId="7B817229" w:rsidR="4C528AD0" w:rsidRPr="00F85EEA" w:rsidRDefault="4C528AD0" w:rsidP="00F85EEA">
      <w:pPr>
        <w:tabs>
          <w:tab w:val="left" w:pos="5720"/>
        </w:tabs>
        <w:spacing w:after="160"/>
        <w:rPr>
          <w:rFonts w:eastAsia="Verdana" w:cs="Verdana"/>
          <w:color w:val="000000"/>
          <w:sz w:val="10"/>
          <w:szCs w:val="10"/>
          <w:lang w:val="pt-PT"/>
        </w:rPr>
      </w:pPr>
    </w:p>
    <w:p w14:paraId="773EBD57" w14:textId="5C3011AF" w:rsidR="64EC3667" w:rsidRPr="00FF7074" w:rsidRDefault="64EC3667" w:rsidP="00F85EEA">
      <w:pPr>
        <w:tabs>
          <w:tab w:val="left" w:pos="5720"/>
        </w:tabs>
        <w:spacing w:after="160"/>
        <w:ind w:firstLine="0"/>
        <w:rPr>
          <w:rFonts w:eastAsia="Verdana" w:cs="Verdana"/>
          <w:color w:val="000000"/>
          <w:lang w:val="pt-PT"/>
        </w:rPr>
      </w:pPr>
      <w:r w:rsidRPr="00FF7074">
        <w:rPr>
          <w:rFonts w:eastAsia="Verdana" w:cs="Verdana"/>
          <w:color w:val="000000"/>
          <w:lang w:val="pt-PT"/>
        </w:rPr>
        <w:t>É desejável que o relatório do FTO seja elaborado por um perito jurídico em matéria de PI, dada a sua complexidade.</w:t>
      </w:r>
    </w:p>
    <w:p w14:paraId="4C82696C" w14:textId="586954A0" w:rsidR="64EC3667" w:rsidRPr="00FF7074" w:rsidRDefault="64EC3667" w:rsidP="00F85EEA">
      <w:pPr>
        <w:tabs>
          <w:tab w:val="left" w:pos="5720"/>
        </w:tabs>
        <w:spacing w:after="160" w:line="259" w:lineRule="auto"/>
        <w:ind w:firstLine="0"/>
        <w:rPr>
          <w:rFonts w:eastAsia="Verdana" w:cs="Verdana"/>
          <w:color w:val="000000"/>
          <w:lang w:val="pt-PT"/>
        </w:rPr>
      </w:pPr>
    </w:p>
    <w:p w14:paraId="287ECFC5" w14:textId="1279D459" w:rsidR="64EC3667" w:rsidRPr="00FF7074" w:rsidRDefault="64EC3667" w:rsidP="00F85EEA">
      <w:pPr>
        <w:tabs>
          <w:tab w:val="left" w:pos="567"/>
        </w:tabs>
        <w:spacing w:after="160" w:line="259" w:lineRule="auto"/>
        <w:ind w:firstLine="0"/>
        <w:rPr>
          <w:rFonts w:eastAsia="Verdana" w:cs="Verdana"/>
          <w:color w:val="000000"/>
          <w:lang w:val="pt-PT"/>
        </w:rPr>
      </w:pPr>
      <w:r w:rsidRPr="00FF7074">
        <w:rPr>
          <w:rFonts w:eastAsia="Verdana" w:cs="Verdana"/>
          <w:b/>
          <w:bCs/>
          <w:color w:val="000000"/>
          <w:lang w:val="pt-PT"/>
        </w:rPr>
        <w:t>A.4</w:t>
      </w:r>
      <w:r w:rsidR="00F85EEA">
        <w:rPr>
          <w:rFonts w:eastAsia="Verdana" w:cs="Verdana"/>
          <w:b/>
          <w:bCs/>
          <w:color w:val="000000"/>
          <w:lang w:val="pt-PT"/>
        </w:rPr>
        <w:tab/>
      </w:r>
      <w:r w:rsidRPr="00FF7074">
        <w:rPr>
          <w:rFonts w:eastAsia="Verdana" w:cs="Verdana"/>
          <w:b/>
          <w:bCs/>
          <w:color w:val="000000"/>
          <w:lang w:val="pt-PT"/>
        </w:rPr>
        <w:t>Valorização tecnológica</w:t>
      </w:r>
    </w:p>
    <w:p w14:paraId="14AF90E2" w14:textId="7C4B8442" w:rsidR="4C528AD0" w:rsidRPr="00FF19FE" w:rsidRDefault="4C528AD0" w:rsidP="4C528AD0">
      <w:pPr>
        <w:tabs>
          <w:tab w:val="left" w:pos="5720"/>
        </w:tabs>
        <w:spacing w:after="160" w:line="259" w:lineRule="auto"/>
        <w:ind w:left="360"/>
        <w:rPr>
          <w:rFonts w:eastAsia="Verdana" w:cs="Verdana"/>
          <w:i/>
          <w:iCs/>
          <w:color w:val="000000"/>
          <w:lang w:val="pt-PT"/>
        </w:rPr>
      </w:pPr>
    </w:p>
    <w:p w14:paraId="5245027B" w14:textId="6D378B94" w:rsidR="64EC3667" w:rsidRPr="00261575" w:rsidRDefault="00C376AB" w:rsidP="00FF19FE">
      <w:pPr>
        <w:tabs>
          <w:tab w:val="left" w:pos="5720"/>
        </w:tabs>
        <w:spacing w:after="160"/>
        <w:ind w:firstLine="0"/>
        <w:rPr>
          <w:rFonts w:eastAsia="Verdana" w:cs="Verdana"/>
          <w:i/>
          <w:iCs/>
          <w:color w:val="3CC4A4"/>
          <w:lang w:val="pt-PT"/>
        </w:rPr>
      </w:pPr>
      <w:r w:rsidRPr="00261575">
        <w:rPr>
          <w:rFonts w:eastAsia="Verdana" w:cs="Verdana"/>
          <w:i/>
          <w:iCs/>
          <w:color w:val="3CC4A4"/>
          <w:lang w:val="pt-PT"/>
        </w:rPr>
        <w:t xml:space="preserve">IP </w:t>
      </w:r>
      <w:proofErr w:type="spellStart"/>
      <w:r w:rsidRPr="00261575">
        <w:rPr>
          <w:rFonts w:eastAsia="Verdana" w:cs="Verdana"/>
          <w:i/>
          <w:iCs/>
          <w:color w:val="3CC4A4"/>
          <w:lang w:val="pt-PT"/>
        </w:rPr>
        <w:t>Scoring</w:t>
      </w:r>
      <w:proofErr w:type="spellEnd"/>
    </w:p>
    <w:p w14:paraId="3A5161FB" w14:textId="77777777" w:rsidR="00C376AB" w:rsidRPr="00C376AB" w:rsidRDefault="00C376AB" w:rsidP="00C376AB">
      <w:pPr>
        <w:tabs>
          <w:tab w:val="left" w:pos="5720"/>
        </w:tabs>
        <w:spacing w:after="160"/>
        <w:ind w:firstLine="0"/>
        <w:rPr>
          <w:rFonts w:eastAsia="Verdana" w:cs="Verdana"/>
          <w:color w:val="000000"/>
          <w:lang w:val="pt-PT"/>
        </w:rPr>
      </w:pPr>
      <w:r w:rsidRPr="00C376AB">
        <w:rPr>
          <w:rFonts w:eastAsia="Verdana" w:cs="Verdana"/>
          <w:color w:val="000000"/>
          <w:lang w:val="pt-PT"/>
        </w:rPr>
        <w:t xml:space="preserve">O IP </w:t>
      </w:r>
      <w:proofErr w:type="spellStart"/>
      <w:r w:rsidRPr="00C376AB">
        <w:rPr>
          <w:rFonts w:eastAsia="Verdana" w:cs="Verdana"/>
          <w:color w:val="000000"/>
          <w:lang w:val="pt-PT"/>
        </w:rPr>
        <w:t>Scoring</w:t>
      </w:r>
      <w:proofErr w:type="spellEnd"/>
      <w:r w:rsidRPr="00C376AB">
        <w:rPr>
          <w:rFonts w:eastAsia="Verdana" w:cs="Verdana"/>
          <w:color w:val="000000"/>
          <w:lang w:val="pt-PT"/>
        </w:rPr>
        <w:t xml:space="preserve"> é uma representação gráfica que visa avaliar uma tecnologia através de parâmetros relevantes, nomeadamente a proteção e força legal da PI, as potenciais aplicações no mercado, os concorrentes ou parceiros existentes, as barreiras legais à entrada no mercado e a distância ao mercado, que em conjunto caracterizam qualitativamente a tecnologia, fornecendo uma visão global aos potenciais compradores/licenciados.</w:t>
      </w:r>
    </w:p>
    <w:p w14:paraId="5F28A93B" w14:textId="21391470" w:rsidR="00C376AB" w:rsidRPr="00C376AB" w:rsidRDefault="00C376AB" w:rsidP="00C376AB">
      <w:pPr>
        <w:tabs>
          <w:tab w:val="left" w:pos="5720"/>
        </w:tabs>
        <w:spacing w:after="160"/>
        <w:ind w:firstLine="0"/>
        <w:rPr>
          <w:rFonts w:eastAsia="Verdana" w:cs="Verdana"/>
          <w:color w:val="000000"/>
          <w:lang w:val="pt-PT"/>
        </w:rPr>
      </w:pPr>
      <w:r w:rsidRPr="00C376AB">
        <w:rPr>
          <w:rFonts w:eastAsia="Verdana" w:cs="Verdana"/>
          <w:color w:val="000000"/>
          <w:lang w:val="pt-PT"/>
        </w:rPr>
        <w:t xml:space="preserve">Assim, considerando a informação apresentada nos capítulos anteriores, a tecnologia é avaliada qualitativamente de 1 a 5 em função do seu desempenho em cada um dos </w:t>
      </w:r>
      <w:r w:rsidRPr="00C376AB">
        <w:rPr>
          <w:rFonts w:eastAsia="Verdana" w:cs="Verdana"/>
          <w:color w:val="000000"/>
          <w:lang w:val="pt-PT"/>
        </w:rPr>
        <w:lastRenderedPageBreak/>
        <w:t xml:space="preserve">parâmetros referidos, sendo '5' a melhor classificação em termos de </w:t>
      </w:r>
      <w:r w:rsidR="007C0736" w:rsidRPr="00C376AB">
        <w:rPr>
          <w:rFonts w:eastAsia="Verdana" w:cs="Verdana"/>
          <w:color w:val="000000"/>
          <w:lang w:val="pt-PT"/>
        </w:rPr>
        <w:t>perspetivas</w:t>
      </w:r>
      <w:r w:rsidRPr="00C376AB">
        <w:rPr>
          <w:rFonts w:eastAsia="Verdana" w:cs="Verdana"/>
          <w:color w:val="000000"/>
          <w:lang w:val="pt-PT"/>
        </w:rPr>
        <w:t xml:space="preserve"> relativamente a um determinado parâmetro. </w:t>
      </w:r>
    </w:p>
    <w:p w14:paraId="2A3A4122" w14:textId="109B60A4" w:rsidR="4C528AD0" w:rsidRPr="00FF19FE" w:rsidRDefault="00C376AB" w:rsidP="00FF19FE">
      <w:pPr>
        <w:tabs>
          <w:tab w:val="left" w:pos="5720"/>
        </w:tabs>
        <w:spacing w:after="160"/>
        <w:ind w:firstLine="0"/>
        <w:rPr>
          <w:rFonts w:eastAsia="Verdana" w:cs="Verdana"/>
          <w:color w:val="000000"/>
          <w:lang w:val="pt-PT"/>
        </w:rPr>
      </w:pPr>
      <w:r w:rsidRPr="00C376AB">
        <w:rPr>
          <w:rFonts w:eastAsia="Verdana" w:cs="Verdana"/>
          <w:color w:val="000000"/>
          <w:lang w:val="pt-PT"/>
        </w:rPr>
        <w:t>As posições relativas obtidas para as cinco dimensões analisadas são as seguintes:</w:t>
      </w:r>
    </w:p>
    <w:p w14:paraId="4A7B8488" w14:textId="2FA31211" w:rsidR="53DE0CB4" w:rsidRDefault="53DE0CB4" w:rsidP="4C528AD0">
      <w:pPr>
        <w:spacing w:after="160" w:line="259" w:lineRule="auto"/>
        <w:rPr>
          <w:lang w:val="pt-PT"/>
        </w:rPr>
      </w:pPr>
      <w:r w:rsidRPr="00FF7074">
        <w:rPr>
          <w:noProof/>
          <w:lang w:val="pt-PT"/>
        </w:rPr>
        <w:drawing>
          <wp:inline distT="0" distB="0" distL="0" distR="0" wp14:anchorId="769F7DFC" wp14:editId="3D3AC3E3">
            <wp:extent cx="5591176" cy="2305050"/>
            <wp:effectExtent l="0" t="0" r="0" b="0"/>
            <wp:docPr id="271663762" name="Imagem 27166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5591176" cy="2305050"/>
                    </a:xfrm>
                    <a:prstGeom prst="rect">
                      <a:avLst/>
                    </a:prstGeom>
                  </pic:spPr>
                </pic:pic>
              </a:graphicData>
            </a:graphic>
          </wp:inline>
        </w:drawing>
      </w:r>
      <w:r w:rsidRPr="00FF7074">
        <w:rPr>
          <w:lang w:val="pt-PT"/>
        </w:rPr>
        <w:br/>
      </w:r>
    </w:p>
    <w:p w14:paraId="63B353DE" w14:textId="6952F54B" w:rsidR="007C0736" w:rsidRDefault="007C0736" w:rsidP="007C0736">
      <w:pPr>
        <w:spacing w:line="276" w:lineRule="auto"/>
        <w:ind w:firstLine="0"/>
        <w:jc w:val="center"/>
        <w:rPr>
          <w:rFonts w:eastAsia="Verdana" w:cs="Verdana"/>
          <w:color w:val="000000"/>
          <w:lang w:val="pt-PT"/>
        </w:rPr>
      </w:pPr>
      <w:r w:rsidRPr="006037A4">
        <w:rPr>
          <w:rFonts w:eastAsia="Verdana"/>
          <w:i/>
          <w:iCs/>
          <w:color w:val="4B4F54" w:themeColor="text1"/>
          <w:sz w:val="18"/>
          <w:szCs w:val="18"/>
          <w:lang w:val="pt-PT" w:eastAsia="en-US"/>
        </w:rPr>
        <w:t xml:space="preserve">Figura </w:t>
      </w:r>
      <w:r w:rsidRPr="00FF7074">
        <w:rPr>
          <w:rFonts w:eastAsia="Verdana"/>
          <w:i/>
          <w:iCs/>
          <w:color w:val="4B4F54" w:themeColor="text1"/>
          <w:sz w:val="18"/>
          <w:szCs w:val="18"/>
          <w:lang w:val="pt-PT" w:eastAsia="en-US"/>
        </w:rPr>
        <w:fldChar w:fldCharType="begin"/>
      </w:r>
      <w:r w:rsidRPr="006037A4">
        <w:rPr>
          <w:rFonts w:eastAsia="Verdana"/>
          <w:i/>
          <w:iCs/>
          <w:color w:val="4B4F54" w:themeColor="text1"/>
          <w:sz w:val="18"/>
          <w:szCs w:val="18"/>
          <w:lang w:val="pt-PT" w:eastAsia="en-US"/>
        </w:rPr>
        <w:instrText xml:space="preserve"> SEQ Figura \* ARABIC </w:instrText>
      </w:r>
      <w:r w:rsidRPr="00FF7074">
        <w:rPr>
          <w:rFonts w:eastAsia="Verdana"/>
          <w:i/>
          <w:iCs/>
          <w:color w:val="4B4F54" w:themeColor="text1"/>
          <w:sz w:val="18"/>
          <w:szCs w:val="18"/>
          <w:lang w:val="pt-PT" w:eastAsia="en-US"/>
        </w:rPr>
        <w:fldChar w:fldCharType="separate"/>
      </w:r>
      <w:r w:rsidR="008617AF">
        <w:rPr>
          <w:rFonts w:eastAsia="Verdana"/>
          <w:i/>
          <w:iCs/>
          <w:noProof/>
          <w:color w:val="4B4F54" w:themeColor="text1"/>
          <w:sz w:val="18"/>
          <w:szCs w:val="18"/>
          <w:lang w:val="pt-PT" w:eastAsia="en-US"/>
        </w:rPr>
        <w:t>15</w:t>
      </w:r>
      <w:r w:rsidRPr="00FF7074">
        <w:rPr>
          <w:rFonts w:eastAsia="Verdana"/>
          <w:i/>
          <w:iCs/>
          <w:color w:val="4B4F54" w:themeColor="text1"/>
          <w:sz w:val="18"/>
          <w:szCs w:val="18"/>
          <w:lang w:val="pt-PT" w:eastAsia="en-US"/>
        </w:rPr>
        <w:fldChar w:fldCharType="end"/>
      </w:r>
      <w:r w:rsidRPr="006037A4">
        <w:rPr>
          <w:i/>
          <w:iCs/>
          <w:color w:val="4B4F54" w:themeColor="text1"/>
          <w:sz w:val="18"/>
          <w:szCs w:val="18"/>
          <w:lang w:val="pt-PT"/>
        </w:rPr>
        <w:t xml:space="preserve">: </w:t>
      </w:r>
      <w:r w:rsidRPr="007C0736">
        <w:rPr>
          <w:i/>
          <w:iCs/>
          <w:color w:val="4B4F54" w:themeColor="text1"/>
          <w:sz w:val="18"/>
          <w:szCs w:val="18"/>
          <w:lang w:val="pt-PT"/>
        </w:rPr>
        <w:t xml:space="preserve">Modelo de IP </w:t>
      </w:r>
      <w:proofErr w:type="spellStart"/>
      <w:r w:rsidRPr="007C0736">
        <w:rPr>
          <w:i/>
          <w:iCs/>
          <w:color w:val="4B4F54" w:themeColor="text1"/>
          <w:sz w:val="18"/>
          <w:szCs w:val="18"/>
          <w:lang w:val="pt-PT"/>
        </w:rPr>
        <w:t>Scoring</w:t>
      </w:r>
      <w:proofErr w:type="spellEnd"/>
      <w:r>
        <w:rPr>
          <w:i/>
          <w:iCs/>
          <w:color w:val="4B4F54" w:themeColor="text1"/>
          <w:sz w:val="18"/>
          <w:szCs w:val="18"/>
          <w:lang w:val="pt-PT"/>
        </w:rPr>
        <w:t>.</w:t>
      </w:r>
    </w:p>
    <w:p w14:paraId="276F410C" w14:textId="2DB3172D" w:rsidR="4C528AD0" w:rsidRPr="00C739F4" w:rsidRDefault="007C0736" w:rsidP="00C739F4">
      <w:pPr>
        <w:tabs>
          <w:tab w:val="left" w:pos="5720"/>
        </w:tabs>
        <w:spacing w:after="160" w:line="259" w:lineRule="auto"/>
        <w:ind w:firstLine="0"/>
        <w:jc w:val="center"/>
        <w:rPr>
          <w:rFonts w:eastAsia="Verdana" w:cs="Verdana"/>
          <w:i/>
          <w:iCs/>
          <w:color w:val="4B4F54" w:themeColor="text1"/>
          <w:sz w:val="16"/>
          <w:szCs w:val="16"/>
          <w:lang w:val="pt-PT"/>
        </w:rPr>
      </w:pPr>
      <w:r w:rsidRPr="00DF0A7A">
        <w:rPr>
          <w:rFonts w:eastAsia="Verdana" w:cs="Verdana"/>
          <w:i/>
          <w:iCs/>
          <w:color w:val="4B4F54" w:themeColor="text1"/>
          <w:sz w:val="16"/>
          <w:szCs w:val="16"/>
          <w:lang w:val="pt-PT"/>
        </w:rPr>
        <w:t xml:space="preserve">Fonte: </w:t>
      </w:r>
      <w:r>
        <w:rPr>
          <w:rFonts w:eastAsia="Verdana" w:cs="Verdana"/>
          <w:i/>
          <w:iCs/>
          <w:color w:val="4B4F54" w:themeColor="text1"/>
          <w:sz w:val="16"/>
          <w:szCs w:val="16"/>
          <w:lang w:val="pt-PT"/>
        </w:rPr>
        <w:t>Elaboração própria pela ClarkeModet.</w:t>
      </w:r>
    </w:p>
    <w:p w14:paraId="781D74ED" w14:textId="289D3AE7" w:rsidR="4C528AD0" w:rsidRPr="00FF7074" w:rsidRDefault="713AA317" w:rsidP="003453B8">
      <w:pPr>
        <w:pStyle w:val="Ttulo2"/>
      </w:pPr>
      <w:bookmarkStart w:id="56" w:name="_Toc138420950"/>
      <w:r w:rsidRPr="00FF7074">
        <w:t>Proteção de ativos intelectuais</w:t>
      </w:r>
      <w:bookmarkEnd w:id="56"/>
    </w:p>
    <w:p w14:paraId="134F2AAC" w14:textId="0EC992A0" w:rsidR="4C528AD0" w:rsidRPr="00FF7074" w:rsidRDefault="63A247CE" w:rsidP="2D5C803A">
      <w:pPr>
        <w:spacing w:after="160"/>
        <w:ind w:firstLine="0"/>
        <w:rPr>
          <w:rFonts w:eastAsia="Verdana" w:cs="Verdana"/>
          <w:color w:val="000000"/>
          <w:lang w:val="pt-PT"/>
        </w:rPr>
      </w:pPr>
      <w:r w:rsidRPr="00FF7074">
        <w:rPr>
          <w:rFonts w:eastAsia="Verdana" w:cs="Verdana"/>
          <w:color w:val="000000"/>
          <w:lang w:val="pt-PT"/>
        </w:rPr>
        <w:t xml:space="preserve">A propriedade intelectual refere-se aos direitos legais concedidos a indivíduos e instituições sobre as criações das suas mentes. Estas criações podem ser obras literárias, artísticas, musicais, invenções, desenhos industriais, marcas registadas ou símbolos distintivos utilizados no comércio (OMPI, [n.d.]). O principal objetivo da propriedade intelectual é encorajar a inovação e a criatividade, proporcionando aos criadores a proteção e os incentivos necessários para beneficiarem das suas criações. </w:t>
      </w:r>
    </w:p>
    <w:p w14:paraId="509C46D7" w14:textId="7C0D9BD2" w:rsidR="4C528AD0" w:rsidRPr="00FF7074" w:rsidRDefault="63A247CE" w:rsidP="2D5C803A">
      <w:pPr>
        <w:spacing w:after="160"/>
        <w:ind w:firstLine="0"/>
        <w:rPr>
          <w:rFonts w:eastAsia="Verdana" w:cs="Verdana"/>
          <w:color w:val="000000"/>
          <w:lang w:val="pt-PT"/>
        </w:rPr>
      </w:pPr>
      <w:r w:rsidRPr="00FF7074">
        <w:rPr>
          <w:rFonts w:eastAsia="Verdana" w:cs="Verdana"/>
          <w:color w:val="000000"/>
          <w:lang w:val="pt-PT"/>
        </w:rPr>
        <w:t xml:space="preserve">A carteira de PI de uma instituição é composta por diferentes </w:t>
      </w:r>
      <w:r w:rsidR="007C0736" w:rsidRPr="00FF7074">
        <w:rPr>
          <w:rFonts w:eastAsia="Verdana" w:cs="Verdana"/>
          <w:color w:val="000000"/>
          <w:lang w:val="pt-PT"/>
        </w:rPr>
        <w:t>ativos</w:t>
      </w:r>
      <w:r w:rsidRPr="00FF7074">
        <w:rPr>
          <w:rFonts w:eastAsia="Verdana" w:cs="Verdana"/>
          <w:color w:val="000000"/>
          <w:lang w:val="pt-PT"/>
        </w:rPr>
        <w:t xml:space="preserve"> intangíveis gerados e registados pela instituição, sendo os mais comuns os seguintes</w:t>
      </w:r>
      <w:r w:rsidR="799A6C89" w:rsidRPr="00FF7074">
        <w:rPr>
          <w:rFonts w:eastAsia="Verdana" w:cs="Verdana"/>
          <w:color w:val="000000"/>
          <w:lang w:val="pt-PT"/>
        </w:rPr>
        <w:t>:</w:t>
      </w:r>
    </w:p>
    <w:p w14:paraId="03BA3132" w14:textId="6089ABDE" w:rsidR="4C528AD0" w:rsidRPr="00FF7074" w:rsidRDefault="799A6C89" w:rsidP="00ED0CA1">
      <w:pPr>
        <w:pStyle w:val="PargrafodaLista"/>
        <w:numPr>
          <w:ilvl w:val="0"/>
          <w:numId w:val="39"/>
        </w:numPr>
        <w:spacing w:after="160"/>
        <w:rPr>
          <w:lang w:val="pt-PT"/>
        </w:rPr>
      </w:pPr>
      <w:r w:rsidRPr="00FF7074">
        <w:rPr>
          <w:rFonts w:eastAsia="Verdana" w:cs="Verdana"/>
          <w:b/>
          <w:bCs/>
          <w:lang w:val="pt-PT"/>
        </w:rPr>
        <w:t>Patentes:</w:t>
      </w:r>
      <w:r w:rsidRPr="00FF7074">
        <w:rPr>
          <w:rFonts w:eastAsia="Verdana" w:cs="Verdana"/>
          <w:lang w:val="pt-PT"/>
        </w:rPr>
        <w:t xml:space="preserve"> </w:t>
      </w:r>
      <w:r w:rsidR="4188FB8B" w:rsidRPr="00FF7074">
        <w:rPr>
          <w:rFonts w:eastAsia="Verdana" w:cs="Verdana"/>
          <w:lang w:val="pt-PT"/>
        </w:rPr>
        <w:t xml:space="preserve">De acordo com a definição do IEP, uma patente é um título jurídico territorial que confere ao seu titular o direito de impedir que terceiros utilizem comercialmente uma invenção sem a sua autorização durante um </w:t>
      </w:r>
      <w:proofErr w:type="gramStart"/>
      <w:r w:rsidR="4188FB8B" w:rsidRPr="00FF7074">
        <w:rPr>
          <w:rFonts w:eastAsia="Verdana" w:cs="Verdana"/>
          <w:lang w:val="pt-PT"/>
        </w:rPr>
        <w:t>período de tempo</w:t>
      </w:r>
      <w:proofErr w:type="gramEnd"/>
      <w:r w:rsidR="4188FB8B" w:rsidRPr="00FF7074">
        <w:rPr>
          <w:rFonts w:eastAsia="Verdana" w:cs="Verdana"/>
          <w:lang w:val="pt-PT"/>
        </w:rPr>
        <w:t xml:space="preserve"> limitado. Tal como outras formas de propriedade intelectual, os direitos conferidos por uma patente não permitem ao seu titular comercializar a invenção protegida, mas permitem-lhe impedir que outros o façam, por exemplo, no caso de invenções farmacêuticas, deve ser obtida autorização das autoridades sanitárias para a comercialização da invenção no país. </w:t>
      </w:r>
    </w:p>
    <w:p w14:paraId="3AC371E8" w14:textId="67FAA2A1" w:rsidR="4C528AD0" w:rsidRPr="00FF7074" w:rsidRDefault="4188FB8B" w:rsidP="2D5C803A">
      <w:pPr>
        <w:spacing w:after="160"/>
        <w:ind w:left="720" w:firstLine="0"/>
        <w:rPr>
          <w:color w:val="000000"/>
          <w:lang w:val="pt-PT"/>
        </w:rPr>
      </w:pPr>
      <w:r w:rsidRPr="00FF7074">
        <w:rPr>
          <w:lang w:val="pt-PT"/>
        </w:rPr>
        <w:lastRenderedPageBreak/>
        <w:t xml:space="preserve">Antes da concessão de um direito de patente, os institutos locais de PI </w:t>
      </w:r>
      <w:r w:rsidR="00261575" w:rsidRPr="00FF7074">
        <w:rPr>
          <w:lang w:val="pt-PT"/>
        </w:rPr>
        <w:t>efetuam</w:t>
      </w:r>
      <w:r w:rsidRPr="00FF7074">
        <w:rPr>
          <w:lang w:val="pt-PT"/>
        </w:rPr>
        <w:t xml:space="preserve"> uma análise formal e substantiva para definir o cumprimento das características de novidade, atividade inventiva e aplicação industrial, que são requisitos essenciais para reconhecer a contribuição da invenção. Uma invenção é considerada nova quando não faz parte do conhecimento público acessível à população, por qualquer meio, incluindo escrito, oral e qualquer demonstração pública da invenção. A Atividade Inventiva refere-se ao facto de uma pessoa com conhecimentos na área técnica poder facilmente deduzir a invenção considerando o seu próprio conhecimento da sua informação e toda a informação publicada à data do registo da invenção. A Aplicação Industrial refere-se à capacidade de gerar um produto comercial a partir da invenção, o que exclui todas as invenções teóricas ou aquelas que contribuem apenas no sentido académico para o campo tecnológico e que não têm capacidade para serem exploradas diretamente num produto comercial. </w:t>
      </w:r>
    </w:p>
    <w:p w14:paraId="7CB1557B" w14:textId="00062317" w:rsidR="4C528AD0" w:rsidRPr="00FF7074" w:rsidRDefault="4188FB8B" w:rsidP="2D5C803A">
      <w:pPr>
        <w:ind w:left="720" w:firstLine="0"/>
        <w:rPr>
          <w:color w:val="000000"/>
          <w:lang w:val="pt-PT"/>
        </w:rPr>
      </w:pPr>
      <w:r w:rsidRPr="00FF7074">
        <w:rPr>
          <w:lang w:val="pt-PT"/>
        </w:rPr>
        <w:t>Os direitos conferidos por uma patente estão limitados aos países onde a patente foi registada e concedida e têm normalmente uma duração de 20 anos a partir do primeiro registo da patente</w:t>
      </w:r>
      <w:r w:rsidR="799A6C89" w:rsidRPr="00FF7074">
        <w:rPr>
          <w:rFonts w:eastAsia="Verdana" w:cs="Verdana"/>
          <w:color w:val="000000"/>
          <w:lang w:val="pt-PT"/>
        </w:rPr>
        <w:t>.</w:t>
      </w:r>
    </w:p>
    <w:p w14:paraId="1E86029C" w14:textId="6D9A8FD9" w:rsidR="4C528AD0" w:rsidRPr="00FF7074" w:rsidRDefault="799A6C89" w:rsidP="00ED0CA1">
      <w:pPr>
        <w:pStyle w:val="PargrafodaLista"/>
        <w:numPr>
          <w:ilvl w:val="0"/>
          <w:numId w:val="38"/>
        </w:numPr>
        <w:spacing w:after="160"/>
        <w:rPr>
          <w:lang w:val="pt-PT"/>
        </w:rPr>
      </w:pPr>
      <w:r w:rsidRPr="00FF7074">
        <w:rPr>
          <w:rFonts w:eastAsia="Verdana" w:cs="Verdana"/>
          <w:b/>
          <w:bCs/>
          <w:lang w:val="pt-PT"/>
        </w:rPr>
        <w:t>Modelos de utilidad</w:t>
      </w:r>
      <w:r w:rsidR="66D92B2F" w:rsidRPr="00FF7074">
        <w:rPr>
          <w:rFonts w:eastAsia="Verdana" w:cs="Verdana"/>
          <w:b/>
          <w:bCs/>
          <w:lang w:val="pt-PT"/>
        </w:rPr>
        <w:t>e</w:t>
      </w:r>
      <w:r w:rsidRPr="00FF7074">
        <w:rPr>
          <w:rFonts w:eastAsia="Verdana" w:cs="Verdana"/>
          <w:b/>
          <w:bCs/>
          <w:lang w:val="pt-PT"/>
        </w:rPr>
        <w:t>:</w:t>
      </w:r>
      <w:r w:rsidRPr="00FF7074">
        <w:rPr>
          <w:rFonts w:eastAsia="Verdana" w:cs="Verdana"/>
          <w:lang w:val="pt-PT"/>
        </w:rPr>
        <w:t xml:space="preserve">  </w:t>
      </w:r>
      <w:r w:rsidR="5BCE8D0A" w:rsidRPr="00FF7074">
        <w:rPr>
          <w:rFonts w:eastAsia="Verdana" w:cs="Verdana"/>
          <w:lang w:val="pt-PT"/>
        </w:rPr>
        <w:t xml:space="preserve">Os modelos de utilidade são utilizados para proteger invenções que envolvem pequenos melhoramentos ou adaptações de produtos existentes, normalmente ferramentas ou equipamento, e são também úteis para produtos que têm uma vida comercial curta devido aos custos de registo mais baixos em comparação com as patentes. Muitos países permitem a conversão de um pedido de patente num pedido de modelo de utilidade, no entanto, em alguns países há um limite de tempo para o fazer. Se um pedido de patente for rejeitado, alguns países permitem que o pedido de patente seja convertido num modelo de utilidade dentro de um determinado período após a rejeição. </w:t>
      </w:r>
    </w:p>
    <w:p w14:paraId="00E70C00" w14:textId="4D707F09" w:rsidR="4C528AD0" w:rsidRPr="00FF7074" w:rsidRDefault="5BCE8D0A" w:rsidP="2D5C803A">
      <w:pPr>
        <w:spacing w:after="160"/>
        <w:ind w:left="720" w:firstLine="0"/>
        <w:rPr>
          <w:color w:val="000000"/>
          <w:lang w:val="pt-PT"/>
        </w:rPr>
      </w:pPr>
      <w:r w:rsidRPr="00FF7074">
        <w:rPr>
          <w:lang w:val="pt-PT"/>
        </w:rPr>
        <w:t>Os direitos conferidos por um modelo de utilidade estão limitados aos países onde foi registado e concedido e a sua duração varia entre 6 e 15 anos, de acordo com a legislação local</w:t>
      </w:r>
      <w:r w:rsidR="799A6C89" w:rsidRPr="00FF7074">
        <w:rPr>
          <w:rFonts w:eastAsia="Verdana" w:cs="Verdana"/>
          <w:color w:val="000000"/>
          <w:lang w:val="pt-PT"/>
        </w:rPr>
        <w:t>.</w:t>
      </w:r>
    </w:p>
    <w:p w14:paraId="0AB5971D" w14:textId="5E0613BE" w:rsidR="4C528AD0" w:rsidRPr="00FF7074" w:rsidRDefault="2C41343E" w:rsidP="00ED0CA1">
      <w:pPr>
        <w:pStyle w:val="PargrafodaLista"/>
        <w:numPr>
          <w:ilvl w:val="0"/>
          <w:numId w:val="37"/>
        </w:numPr>
        <w:spacing w:after="160"/>
        <w:rPr>
          <w:lang w:val="pt-PT"/>
        </w:rPr>
      </w:pPr>
      <w:r w:rsidRPr="00FF7074">
        <w:rPr>
          <w:rFonts w:eastAsia="Verdana" w:cs="Verdana"/>
          <w:b/>
          <w:bCs/>
          <w:lang w:val="pt-PT"/>
        </w:rPr>
        <w:t>Desenhos e modelos</w:t>
      </w:r>
      <w:r w:rsidR="799A6C89" w:rsidRPr="00FF7074">
        <w:rPr>
          <w:rFonts w:eastAsia="Verdana" w:cs="Verdana"/>
          <w:b/>
          <w:bCs/>
          <w:lang w:val="pt-PT"/>
        </w:rPr>
        <w:t xml:space="preserve">: </w:t>
      </w:r>
      <w:r w:rsidR="51DCC597" w:rsidRPr="00FF7074">
        <w:rPr>
          <w:rFonts w:eastAsia="Verdana" w:cs="Verdana"/>
          <w:lang w:val="pt-PT"/>
        </w:rPr>
        <w:t xml:space="preserve">Os desenhos e modelos são uma figura de propriedade intelectual que protege a aparência de uma parte de um produto resultante das características, nomeadamente, das linhas, contornos, cores, forma, textura e/ou materiais do próprio produto e/ou da sua ornamentação. Esta figura não protege nenhuma caraterística técnica da invenção e a proteção limita-se à aparência da invenção. </w:t>
      </w:r>
    </w:p>
    <w:p w14:paraId="2205DCF1" w14:textId="0BA7D101" w:rsidR="4C528AD0" w:rsidRPr="00FF7074" w:rsidRDefault="51DCC597" w:rsidP="2D5C803A">
      <w:pPr>
        <w:spacing w:after="160"/>
        <w:ind w:left="720" w:firstLine="0"/>
        <w:rPr>
          <w:color w:val="000000"/>
          <w:lang w:val="pt-PT"/>
        </w:rPr>
      </w:pPr>
      <w:r w:rsidRPr="00FF7074">
        <w:rPr>
          <w:lang w:val="pt-PT"/>
        </w:rPr>
        <w:lastRenderedPageBreak/>
        <w:t xml:space="preserve">Tal como as patentes, a proteção do desenho ou modelo está limitada aos países onde o desenho ou modelo foi depositado e concedido, e a sua validade está limitada a um </w:t>
      </w:r>
      <w:proofErr w:type="gramStart"/>
      <w:r w:rsidRPr="00FF7074">
        <w:rPr>
          <w:lang w:val="pt-PT"/>
        </w:rPr>
        <w:t>período de tempo</w:t>
      </w:r>
      <w:proofErr w:type="gramEnd"/>
      <w:r w:rsidRPr="00FF7074">
        <w:rPr>
          <w:lang w:val="pt-PT"/>
        </w:rPr>
        <w:t xml:space="preserve"> específico que varia entre 10 e 25 anos, de acordo com a legislação local.</w:t>
      </w:r>
    </w:p>
    <w:p w14:paraId="5D3B5202" w14:textId="2A694572" w:rsidR="4C528AD0" w:rsidRPr="00FF7074" w:rsidRDefault="799A6C89" w:rsidP="00ED0CA1">
      <w:pPr>
        <w:pStyle w:val="PargrafodaLista"/>
        <w:numPr>
          <w:ilvl w:val="0"/>
          <w:numId w:val="36"/>
        </w:numPr>
        <w:spacing w:after="160"/>
        <w:rPr>
          <w:rFonts w:eastAsia="Verdana" w:cs="Verdana"/>
          <w:lang w:val="pt-PT"/>
        </w:rPr>
      </w:pPr>
      <w:r w:rsidRPr="00FF7074">
        <w:rPr>
          <w:rFonts w:eastAsia="Verdana" w:cs="Verdana"/>
          <w:b/>
          <w:bCs/>
          <w:lang w:val="pt-PT"/>
        </w:rPr>
        <w:t>Marcas:</w:t>
      </w:r>
      <w:r w:rsidRPr="00FF7074">
        <w:rPr>
          <w:rFonts w:eastAsia="Verdana" w:cs="Verdana"/>
          <w:lang w:val="pt-PT"/>
        </w:rPr>
        <w:t xml:space="preserve"> </w:t>
      </w:r>
      <w:r w:rsidR="6BFFFF8E" w:rsidRPr="00FF7074">
        <w:rPr>
          <w:rFonts w:eastAsia="Verdana" w:cs="Verdana"/>
          <w:lang w:val="pt-PT"/>
        </w:rPr>
        <w:t>As marcas registadas são sinais capazes de distinguir os produtos e serviços de uma empresa dos oferecidos por outras. Uma palavra ou uma combinação de palavras, letras e números pode constituir uma marca registada, embora também possam consistir em desenhos, símbolos, características tridimensionais, como a forma e a embalagem dos produtos, sinais não visíveis, como sons ou fragrâncias, ou tonalidades de cor utilizadas como características distintivas.</w:t>
      </w:r>
    </w:p>
    <w:p w14:paraId="292CE014" w14:textId="78263B44" w:rsidR="4C528AD0" w:rsidRPr="00FF7074" w:rsidRDefault="6BFFFF8E" w:rsidP="2D5C803A">
      <w:pPr>
        <w:spacing w:after="160"/>
        <w:ind w:left="720" w:firstLine="0"/>
        <w:rPr>
          <w:color w:val="000000"/>
          <w:lang w:val="pt-PT"/>
        </w:rPr>
      </w:pPr>
      <w:r w:rsidRPr="00FF7074">
        <w:rPr>
          <w:lang w:val="pt-PT"/>
        </w:rPr>
        <w:t>Tal como as patentes, os direitos conferidos por uma marca registada estão limitados aos territórios onde foram registadas e concedidas. Ao contrário das patentes, as marcas registadas podem ser renovadas por um período ilimitado, desde que haja interesse por parte do proprietário em manter os seus direitos.</w:t>
      </w:r>
      <w:r w:rsidR="799A6C89" w:rsidRPr="00FF7074">
        <w:rPr>
          <w:rFonts w:eastAsia="Verdana" w:cs="Verdana"/>
          <w:color w:val="000000"/>
          <w:lang w:val="pt-PT"/>
        </w:rPr>
        <w:t xml:space="preserve"> </w:t>
      </w:r>
    </w:p>
    <w:p w14:paraId="517DB01F" w14:textId="3AD6A233" w:rsidR="4C528AD0" w:rsidRPr="00FF7074" w:rsidRDefault="799A6C89" w:rsidP="00ED0CA1">
      <w:pPr>
        <w:pStyle w:val="PargrafodaLista"/>
        <w:numPr>
          <w:ilvl w:val="0"/>
          <w:numId w:val="35"/>
        </w:numPr>
        <w:spacing w:after="160"/>
        <w:rPr>
          <w:lang w:val="pt-PT"/>
        </w:rPr>
      </w:pPr>
      <w:r w:rsidRPr="00FF7074">
        <w:rPr>
          <w:rFonts w:eastAsia="Verdana" w:cs="Verdana"/>
          <w:b/>
          <w:bCs/>
          <w:lang w:val="pt-PT"/>
        </w:rPr>
        <w:t>D</w:t>
      </w:r>
      <w:r w:rsidR="719D7923" w:rsidRPr="00FF7074">
        <w:rPr>
          <w:rFonts w:eastAsia="Verdana" w:cs="Verdana"/>
          <w:b/>
          <w:bCs/>
          <w:lang w:val="pt-PT"/>
        </w:rPr>
        <w:t>ireitos</w:t>
      </w:r>
      <w:r w:rsidRPr="00FF7074">
        <w:rPr>
          <w:rFonts w:eastAsia="Verdana" w:cs="Verdana"/>
          <w:b/>
          <w:bCs/>
          <w:lang w:val="pt-PT"/>
        </w:rPr>
        <w:t xml:space="preserve"> de autor:</w:t>
      </w:r>
      <w:r w:rsidRPr="00FF7074">
        <w:rPr>
          <w:rFonts w:eastAsia="Verdana" w:cs="Verdana"/>
          <w:lang w:val="pt-PT"/>
        </w:rPr>
        <w:t xml:space="preserve"> El </w:t>
      </w:r>
      <w:r w:rsidR="14A12A51" w:rsidRPr="00FF7074">
        <w:rPr>
          <w:rFonts w:eastAsia="Verdana" w:cs="Verdana"/>
          <w:lang w:val="pt-PT"/>
        </w:rPr>
        <w:t xml:space="preserve">Os direitos de autor são um termo jurídico utilizado para descrever os direitos que os criadores têm sobre as suas obras literárias e artísticas. As obras protegidas por direitos de autor vão desde livros, música, pinturas, esculturas e filmes, a programas informáticos, bases de dados, anúncios, mapas e desenhos técnicos.   </w:t>
      </w:r>
    </w:p>
    <w:p w14:paraId="4D2157A7" w14:textId="2A0FCBB7" w:rsidR="4C528AD0" w:rsidRPr="00FF7074" w:rsidRDefault="14A12A51" w:rsidP="2D5C803A">
      <w:pPr>
        <w:spacing w:after="160"/>
        <w:ind w:left="720" w:firstLine="0"/>
        <w:rPr>
          <w:color w:val="000000"/>
          <w:lang w:val="pt-PT"/>
        </w:rPr>
      </w:pPr>
      <w:r w:rsidRPr="00FF7074">
        <w:rPr>
          <w:lang w:val="pt-PT"/>
        </w:rPr>
        <w:t xml:space="preserve">Em geral, a legislação não contém listas exaustivas de materiais que podem ser protegidos por direitos de autor. No entanto, em termos gerais, as obras habitualmente protegidas por direitos de autor em todo o mundo incluem: obras literárias, como romances, poemas, peças de teatro, artigos de jornal, programas de computador, bases de dados, filmes, composições musicais e coreografias, obras artísticas, como pinturas, desenhos, fotografias e esculturas, arquitetura, e anúncios, mapas e desenhos técnicos. A proteção dos direitos de autor estende-se apenas a expressões e não a ideias, procedimentos, métodos de funcionamento ou conceitos matemáticos enquanto tais. Os direitos de autor podem ou não estar disponíveis para uma série de </w:t>
      </w:r>
      <w:r w:rsidR="007C0736" w:rsidRPr="00FF7074">
        <w:rPr>
          <w:lang w:val="pt-PT"/>
        </w:rPr>
        <w:t>objetos</w:t>
      </w:r>
      <w:r w:rsidRPr="00FF7074">
        <w:rPr>
          <w:lang w:val="pt-PT"/>
        </w:rPr>
        <w:t>, tais como títulos, slogans ou logótipos, dependendo de conterem ou não autoria suficiente</w:t>
      </w:r>
      <w:r w:rsidR="799A6C89" w:rsidRPr="00FF7074">
        <w:rPr>
          <w:rFonts w:eastAsia="Verdana" w:cs="Verdana"/>
          <w:color w:val="000000"/>
          <w:lang w:val="pt-PT"/>
        </w:rPr>
        <w:t>.</w:t>
      </w:r>
    </w:p>
    <w:p w14:paraId="4147719A" w14:textId="50E7AF03" w:rsidR="4C528AD0" w:rsidRPr="00FF7074" w:rsidRDefault="39EAE2ED" w:rsidP="00ED0CA1">
      <w:pPr>
        <w:pStyle w:val="PargrafodaLista"/>
        <w:numPr>
          <w:ilvl w:val="0"/>
          <w:numId w:val="34"/>
        </w:numPr>
        <w:spacing w:after="160"/>
        <w:rPr>
          <w:lang w:val="pt-PT"/>
        </w:rPr>
      </w:pPr>
      <w:r w:rsidRPr="00FF7074">
        <w:rPr>
          <w:rFonts w:eastAsia="Verdana" w:cs="Verdana"/>
          <w:b/>
          <w:bCs/>
          <w:lang w:val="pt-PT"/>
        </w:rPr>
        <w:t>Segredos comerciais</w:t>
      </w:r>
      <w:r w:rsidR="799A6C89" w:rsidRPr="00FF7074">
        <w:rPr>
          <w:rFonts w:eastAsia="Verdana" w:cs="Verdana"/>
          <w:b/>
          <w:bCs/>
          <w:lang w:val="pt-PT"/>
        </w:rPr>
        <w:t>:</w:t>
      </w:r>
      <w:r w:rsidR="799A6C89" w:rsidRPr="00FF7074">
        <w:rPr>
          <w:rFonts w:eastAsia="Verdana" w:cs="Verdana"/>
          <w:lang w:val="pt-PT"/>
        </w:rPr>
        <w:t xml:space="preserve"> </w:t>
      </w:r>
      <w:r w:rsidR="2F8A52D0" w:rsidRPr="00FF7074">
        <w:rPr>
          <w:rFonts w:eastAsia="Verdana" w:cs="Verdana"/>
          <w:lang w:val="pt-PT"/>
        </w:rPr>
        <w:t xml:space="preserve">Os segredos comerciais são direitos de propriedade intelectual (PI) sobre informações confidenciais que podem ser vendidas ou licenciadas. Em geral, qualquer informação comercial confidencial que proporcione a uma empresa uma vantagem competitiva e que seja desconhecida de terceiros pode ser protegida como segredo comercial. </w:t>
      </w:r>
    </w:p>
    <w:p w14:paraId="5AC282E0" w14:textId="12649256" w:rsidR="4C528AD0" w:rsidRPr="00653124" w:rsidRDefault="2F8A52D0" w:rsidP="00653124">
      <w:pPr>
        <w:ind w:left="720" w:firstLine="0"/>
        <w:rPr>
          <w:color w:val="000000"/>
          <w:lang w:val="pt-PT"/>
        </w:rPr>
      </w:pPr>
      <w:r w:rsidRPr="00FF7074">
        <w:rPr>
          <w:lang w:val="pt-PT"/>
        </w:rPr>
        <w:lastRenderedPageBreak/>
        <w:t xml:space="preserve">Os segredos comerciais abrangem tanto informações técnicas, tais como informações relativas a processos de fabrico, dados de testes farmacêuticos, </w:t>
      </w:r>
      <w:proofErr w:type="spellStart"/>
      <w:r w:rsidRPr="00FF7074">
        <w:rPr>
          <w:lang w:val="pt-PT"/>
        </w:rPr>
        <w:t>projectos</w:t>
      </w:r>
      <w:proofErr w:type="spellEnd"/>
      <w:r w:rsidRPr="00FF7074">
        <w:rPr>
          <w:lang w:val="pt-PT"/>
        </w:rPr>
        <w:t xml:space="preserve"> e desenhos de software, como informações comerciais, tais como métodos de distribuição, lista de fornecedores e clientes e estratégias de publicidade. Um segredo comercial também pode ser composto por uma combinação de elementos, cada um dos quais é do domínio público, mas em que a combinação, que é mantida em segredo, proporciona uma vantagem competitiva. Outros exemplos de informações que podem ser protegidas por segredos comerciais incluem informações financeiras, fórmulas, receitas e códigos-fonte.</w:t>
      </w:r>
    </w:p>
    <w:p w14:paraId="2ABFC9CD" w14:textId="3933A869" w:rsidR="4C528AD0" w:rsidRPr="00FF7074" w:rsidRDefault="00653124" w:rsidP="00261575">
      <w:pPr>
        <w:pStyle w:val="Ttulo3"/>
      </w:pPr>
      <w:bookmarkStart w:id="57" w:name="_Toc138420951"/>
      <w:r>
        <w:t xml:space="preserve">Definição de </w:t>
      </w:r>
      <w:r w:rsidR="252584FF" w:rsidRPr="00FF7074">
        <w:t>uma estratégia de proteção</w:t>
      </w:r>
      <w:bookmarkEnd w:id="57"/>
      <w:r w:rsidR="252584FF" w:rsidRPr="00FF7074">
        <w:t xml:space="preserve">  </w:t>
      </w:r>
    </w:p>
    <w:p w14:paraId="58B90265" w14:textId="533CD557" w:rsidR="4C528AD0" w:rsidRPr="00FF7074" w:rsidRDefault="152F01C2" w:rsidP="2D5C803A">
      <w:pPr>
        <w:spacing w:after="160"/>
        <w:ind w:firstLine="0"/>
        <w:rPr>
          <w:rFonts w:eastAsia="Verdana" w:cs="Verdana"/>
          <w:color w:val="000000"/>
          <w:lang w:val="pt-PT"/>
        </w:rPr>
      </w:pPr>
      <w:r w:rsidRPr="00FF7074">
        <w:rPr>
          <w:rFonts w:eastAsia="Verdana" w:cs="Verdana"/>
          <w:color w:val="000000"/>
          <w:lang w:val="pt-PT"/>
        </w:rPr>
        <w:t>A propriedade intelectual é de grande importância para as instituições de ensino superior, uma vez que promove a inovação, protege os investimentos em investigação, facilita a transferência de tecnologia e a colaboração com a indústria, gera rendimentos e contribui para o prestígio e a reputação da instituição:</w:t>
      </w:r>
    </w:p>
    <w:p w14:paraId="204C2AE4" w14:textId="729ACE51" w:rsidR="4C528AD0" w:rsidRPr="00FF7074" w:rsidRDefault="6417EABF" w:rsidP="00ED0CA1">
      <w:pPr>
        <w:pStyle w:val="PargrafodaLista"/>
        <w:numPr>
          <w:ilvl w:val="0"/>
          <w:numId w:val="33"/>
        </w:numPr>
        <w:spacing w:after="160"/>
        <w:rPr>
          <w:rFonts w:eastAsia="Verdana" w:cs="Verdana"/>
          <w:lang w:val="pt-PT"/>
        </w:rPr>
      </w:pPr>
      <w:r w:rsidRPr="00FF7074">
        <w:rPr>
          <w:rFonts w:eastAsia="Verdana" w:cs="Verdana"/>
          <w:b/>
          <w:bCs/>
          <w:lang w:val="pt-PT"/>
        </w:rPr>
        <w:t>Fomento da inovação:</w:t>
      </w:r>
      <w:r w:rsidRPr="00FF7074">
        <w:rPr>
          <w:rFonts w:eastAsia="Verdana" w:cs="Verdana"/>
          <w:lang w:val="pt-PT"/>
        </w:rPr>
        <w:t xml:space="preserve"> A propriedade intelectual protege os resultados da investigação e o desenvolvimento de novas ideias e tecnologias. Ao assegurar direitos exclusivos sobre estes </w:t>
      </w:r>
      <w:r w:rsidR="00FE2526" w:rsidRPr="00FF7074">
        <w:rPr>
          <w:rFonts w:eastAsia="Verdana" w:cs="Verdana"/>
          <w:lang w:val="pt-PT"/>
        </w:rPr>
        <w:t>ativos</w:t>
      </w:r>
      <w:r w:rsidRPr="00FF7074">
        <w:rPr>
          <w:rFonts w:eastAsia="Verdana" w:cs="Verdana"/>
          <w:lang w:val="pt-PT"/>
        </w:rPr>
        <w:t>, as instituições de ensino superior podem promover a inovação e a criatividade entre os seus professores, investigadores e estudantes. Isto impulsiona a geração de novos conhecimentos, descobertas e avanços científicos.</w:t>
      </w:r>
    </w:p>
    <w:p w14:paraId="39C1E512" w14:textId="2C90455F" w:rsidR="4C528AD0" w:rsidRPr="00FF7074" w:rsidRDefault="57D785FB" w:rsidP="00ED0CA1">
      <w:pPr>
        <w:pStyle w:val="PargrafodaLista"/>
        <w:numPr>
          <w:ilvl w:val="0"/>
          <w:numId w:val="33"/>
        </w:numPr>
        <w:spacing w:after="160"/>
        <w:rPr>
          <w:rFonts w:eastAsia="Verdana" w:cs="Verdana"/>
          <w:lang w:val="pt-PT"/>
        </w:rPr>
      </w:pPr>
      <w:r w:rsidRPr="00FF7074">
        <w:rPr>
          <w:rFonts w:eastAsia="Verdana" w:cs="Verdana"/>
          <w:b/>
          <w:bCs/>
          <w:lang w:val="pt-PT"/>
        </w:rPr>
        <w:t>Proteção do investimento:</w:t>
      </w:r>
      <w:r w:rsidRPr="00FF7074">
        <w:rPr>
          <w:rFonts w:eastAsia="Verdana" w:cs="Verdana"/>
          <w:lang w:val="pt-PT"/>
        </w:rPr>
        <w:t xml:space="preserve"> As instituições de ensino superior investem recursos significativos em investigação, desenvolvimento e criação de conhecimentos. A propriedade intelectual protege estes investimentos ao conceder direitos exclusivos sobre os resultados obtidos. Isto motiva as instituições a continuar a investir em </w:t>
      </w:r>
      <w:r w:rsidR="00FE2526" w:rsidRPr="00FF7074">
        <w:rPr>
          <w:rFonts w:eastAsia="Verdana" w:cs="Verdana"/>
          <w:lang w:val="pt-PT"/>
        </w:rPr>
        <w:t>atividades</w:t>
      </w:r>
      <w:r w:rsidRPr="00FF7074">
        <w:rPr>
          <w:rFonts w:eastAsia="Verdana" w:cs="Verdana"/>
          <w:lang w:val="pt-PT"/>
        </w:rPr>
        <w:t xml:space="preserve"> de investigação e desenvolvimento, pois sabem que poderão beneficiar dos frutos do seu trabalho.</w:t>
      </w:r>
    </w:p>
    <w:p w14:paraId="70A443DD" w14:textId="4D59F9B1" w:rsidR="4C528AD0" w:rsidRPr="00FF7074" w:rsidRDefault="3F649F76" w:rsidP="00ED0CA1">
      <w:pPr>
        <w:pStyle w:val="PargrafodaLista"/>
        <w:numPr>
          <w:ilvl w:val="0"/>
          <w:numId w:val="33"/>
        </w:numPr>
        <w:spacing w:after="160"/>
        <w:rPr>
          <w:rFonts w:eastAsia="Verdana" w:cs="Verdana"/>
          <w:lang w:val="pt-PT"/>
        </w:rPr>
      </w:pPr>
      <w:r w:rsidRPr="00FF7074">
        <w:rPr>
          <w:rFonts w:eastAsia="Verdana" w:cs="Verdana"/>
          <w:b/>
          <w:bCs/>
          <w:lang w:val="pt-PT"/>
        </w:rPr>
        <w:t xml:space="preserve">Transferência de tecnologia e colaboração com a indústria: </w:t>
      </w:r>
      <w:r w:rsidRPr="00FF7074">
        <w:rPr>
          <w:rFonts w:eastAsia="Verdana" w:cs="Verdana"/>
          <w:lang w:val="pt-PT"/>
        </w:rPr>
        <w:t xml:space="preserve">A PI facilita a transferência de tecnologia e o estabelecimento de colaborações entre as instituições de ensino superior e a indústria. Através de acordos de licenciamento, as instituições podem conceder direitos a terceiros para utilizarem as suas invenções ou tecnologias, o que pode levar à criação de novos produtos, serviços e empresas. Isto contribui para o desenvolvimento económico e o progresso da sociedade em geral. </w:t>
      </w:r>
    </w:p>
    <w:p w14:paraId="7EB5EDAD" w14:textId="22998F96" w:rsidR="4C528AD0" w:rsidRPr="00FF7074" w:rsidRDefault="3F649F76" w:rsidP="00ED0CA1">
      <w:pPr>
        <w:pStyle w:val="PargrafodaLista"/>
        <w:numPr>
          <w:ilvl w:val="0"/>
          <w:numId w:val="33"/>
        </w:numPr>
        <w:rPr>
          <w:lang w:val="pt-PT"/>
        </w:rPr>
      </w:pPr>
      <w:r w:rsidRPr="00FF7074">
        <w:rPr>
          <w:b/>
          <w:bCs/>
          <w:lang w:val="pt-PT"/>
        </w:rPr>
        <w:t xml:space="preserve">Geração de receitas: </w:t>
      </w:r>
      <w:r w:rsidRPr="00FF7074">
        <w:rPr>
          <w:lang w:val="pt-PT"/>
        </w:rPr>
        <w:t xml:space="preserve">a PI pode gerar receitas para as instituições de ensino superior através de diferentes mecanismos, como a comercialização de tecnologias </w:t>
      </w:r>
      <w:r w:rsidRPr="00FF7074">
        <w:rPr>
          <w:lang w:val="pt-PT"/>
        </w:rPr>
        <w:lastRenderedPageBreak/>
        <w:t xml:space="preserve">patenteadas, o licenciamento, a venda de direitos de autor, entre outros. Estas receitas podem ser reinvestidas em novas </w:t>
      </w:r>
      <w:r w:rsidR="007C0736" w:rsidRPr="00FF7074">
        <w:rPr>
          <w:lang w:val="pt-PT"/>
        </w:rPr>
        <w:t>atividades</w:t>
      </w:r>
      <w:r w:rsidRPr="00FF7074">
        <w:rPr>
          <w:lang w:val="pt-PT"/>
        </w:rPr>
        <w:t xml:space="preserve"> de investigação e desenvolvimento, melhorar as </w:t>
      </w:r>
      <w:r w:rsidR="00FE2526" w:rsidRPr="00FF7074">
        <w:rPr>
          <w:lang w:val="pt-PT"/>
        </w:rPr>
        <w:t>infraestruturas</w:t>
      </w:r>
      <w:r w:rsidRPr="00FF7074">
        <w:rPr>
          <w:lang w:val="pt-PT"/>
        </w:rPr>
        <w:t xml:space="preserve"> e os recursos da instituição ou financiar programas académicos e bolsas de estudo. </w:t>
      </w:r>
    </w:p>
    <w:p w14:paraId="411826B3" w14:textId="52479B3C" w:rsidR="4C528AD0" w:rsidRPr="00FF7074" w:rsidRDefault="3F649F76" w:rsidP="00ED0CA1">
      <w:pPr>
        <w:pStyle w:val="PargrafodaLista"/>
        <w:numPr>
          <w:ilvl w:val="0"/>
          <w:numId w:val="33"/>
        </w:numPr>
        <w:rPr>
          <w:rFonts w:eastAsia="Verdana" w:cs="Verdana"/>
          <w:lang w:val="pt-PT"/>
        </w:rPr>
      </w:pPr>
      <w:r w:rsidRPr="00FF7074">
        <w:rPr>
          <w:b/>
          <w:bCs/>
          <w:lang w:val="pt-PT"/>
        </w:rPr>
        <w:t xml:space="preserve">Prestígio e reputação: </w:t>
      </w:r>
      <w:r w:rsidRPr="00FF7074">
        <w:rPr>
          <w:lang w:val="pt-PT"/>
        </w:rPr>
        <w:t>A proteção da propriedade intelectual e o reconhecimento das contribuições de uma instituição de ensino superior em termos de investigação e desenvolvimento aumentam o seu prestígio e reputação, tanto a nível nacional como internacional. Isto pode atrair professores, investigadores e estudantes talentosos, bem como parcerias e colaborações com outras instituições académicas e entidades de investigação.</w:t>
      </w:r>
    </w:p>
    <w:p w14:paraId="637D1BEA" w14:textId="5D332DEF" w:rsidR="4C528AD0" w:rsidRPr="00FF7074" w:rsidRDefault="4C528AD0" w:rsidP="2D5C803A">
      <w:pPr>
        <w:spacing w:after="160"/>
        <w:ind w:firstLine="0"/>
        <w:rPr>
          <w:rFonts w:eastAsia="Verdana" w:cs="Verdana"/>
          <w:color w:val="000000"/>
          <w:lang w:val="pt-PT"/>
        </w:rPr>
      </w:pPr>
    </w:p>
    <w:p w14:paraId="38552446" w14:textId="5918CAAD" w:rsidR="4C528AD0" w:rsidRPr="00FF7074" w:rsidRDefault="4C22D9CE" w:rsidP="2D5C803A">
      <w:pPr>
        <w:spacing w:after="160"/>
        <w:ind w:firstLine="0"/>
        <w:rPr>
          <w:rFonts w:eastAsia="Verdana" w:cs="Verdana"/>
          <w:color w:val="000000"/>
          <w:lang w:val="pt-PT"/>
        </w:rPr>
      </w:pPr>
      <w:r w:rsidRPr="00FF7074">
        <w:rPr>
          <w:rFonts w:eastAsia="Verdana" w:cs="Verdana"/>
          <w:color w:val="000000"/>
          <w:lang w:val="pt-PT"/>
        </w:rPr>
        <w:t xml:space="preserve">Através das suas contribuições de PI, as IES apoiam o desenvolvimento económico da nação, gerando nova investigação, que pode conduzir a avanços científicos e tecnológicos, novas descobertas, invenções e desenvolvimentos inovadores. Os conhecimentos gerados nas instituições de ensino superior podem ser transferidos para a indústria e outras áreas da economia, impulsionando a inovação e melhorando a produtividade. </w:t>
      </w:r>
    </w:p>
    <w:p w14:paraId="0A6EA986" w14:textId="7468FA73" w:rsidR="4C528AD0" w:rsidRPr="00FF7074" w:rsidRDefault="4C22D9CE" w:rsidP="2D5C803A">
      <w:pPr>
        <w:spacing w:after="160"/>
        <w:ind w:firstLine="0"/>
        <w:rPr>
          <w:rFonts w:eastAsia="Verdana" w:cs="Verdana"/>
          <w:color w:val="000000"/>
          <w:lang w:val="pt-PT"/>
        </w:rPr>
      </w:pPr>
      <w:r w:rsidRPr="00FF7074">
        <w:rPr>
          <w:rFonts w:eastAsia="Verdana" w:cs="Verdana"/>
          <w:color w:val="000000"/>
          <w:lang w:val="pt-PT"/>
        </w:rPr>
        <w:t xml:space="preserve">O desenvolvimento de uma estratégia adequada para a proteção das inovações geradas pela instituição é de importância vital para evitar a utilização indevida da informação e para garantir o maior retorno possível do investimento. O desenvolvimento de uma estratégia de proteção não é uma atividade isolada; a estratégia deve evoluir em conjunto com a instituição para garantir que está sempre alinhada com os </w:t>
      </w:r>
      <w:r w:rsidR="00FE2526" w:rsidRPr="00FF7074">
        <w:rPr>
          <w:rFonts w:eastAsia="Verdana" w:cs="Verdana"/>
          <w:color w:val="000000"/>
          <w:lang w:val="pt-PT"/>
        </w:rPr>
        <w:t>objetivos</w:t>
      </w:r>
      <w:r w:rsidRPr="00FF7074">
        <w:rPr>
          <w:rFonts w:eastAsia="Verdana" w:cs="Verdana"/>
          <w:color w:val="000000"/>
          <w:lang w:val="pt-PT"/>
        </w:rPr>
        <w:t xml:space="preserve"> da instituição. A OMPI desenvolveu um </w:t>
      </w:r>
      <w:r w:rsidRPr="00FF7074">
        <w:rPr>
          <w:rFonts w:eastAsia="Verdana" w:cs="Verdana"/>
          <w:b/>
          <w:bCs/>
          <w:color w:val="000000"/>
          <w:lang w:val="pt-PT"/>
        </w:rPr>
        <w:t>guia geral para a elaboração de estratégias de proteção</w:t>
      </w:r>
      <w:r w:rsidRPr="00FF7074">
        <w:rPr>
          <w:rFonts w:eastAsia="Verdana" w:cs="Verdana"/>
          <w:color w:val="000000"/>
          <w:lang w:val="pt-PT"/>
        </w:rPr>
        <w:t xml:space="preserve"> que inclui os pontos mais relevantes a considerar durante a sua elaboração</w:t>
      </w:r>
      <w:r w:rsidR="799A6C89" w:rsidRPr="00FF7074">
        <w:rPr>
          <w:rFonts w:eastAsia="Verdana" w:cs="Verdana"/>
          <w:color w:val="000000"/>
          <w:lang w:val="pt-PT"/>
        </w:rPr>
        <w:t>:</w:t>
      </w:r>
    </w:p>
    <w:p w14:paraId="05B369B2" w14:textId="719ED77F" w:rsidR="4C528AD0" w:rsidRPr="00FF7074" w:rsidRDefault="4C528AD0" w:rsidP="2D5C803A">
      <w:pPr>
        <w:spacing w:after="160"/>
        <w:ind w:firstLine="0"/>
        <w:rPr>
          <w:rFonts w:eastAsia="Verdana" w:cs="Verdana"/>
          <w:b/>
          <w:bCs/>
          <w:color w:val="000000"/>
          <w:lang w:val="pt-PT"/>
        </w:rPr>
      </w:pPr>
    </w:p>
    <w:p w14:paraId="6F53257C" w14:textId="2D1CD018" w:rsidR="4C528AD0" w:rsidRPr="00FF7074" w:rsidRDefault="19F729CE" w:rsidP="2D5C803A">
      <w:pPr>
        <w:spacing w:after="160"/>
        <w:ind w:firstLine="0"/>
        <w:rPr>
          <w:rFonts w:eastAsia="Verdana" w:cs="Verdana"/>
          <w:color w:val="000000"/>
          <w:lang w:val="pt-PT"/>
        </w:rPr>
      </w:pPr>
      <w:r w:rsidRPr="00FF7074">
        <w:rPr>
          <w:rFonts w:eastAsia="Verdana" w:cs="Verdana"/>
          <w:b/>
          <w:bCs/>
          <w:color w:val="000000"/>
          <w:lang w:val="pt-PT"/>
        </w:rPr>
        <w:t xml:space="preserve">Fase I. Conceção da ideia </w:t>
      </w:r>
    </w:p>
    <w:p w14:paraId="59F14651" w14:textId="3868AC2A" w:rsidR="4C528AD0" w:rsidRPr="00FF7074" w:rsidRDefault="19F729CE" w:rsidP="00ED0CA1">
      <w:pPr>
        <w:pStyle w:val="PargrafodaLista"/>
        <w:numPr>
          <w:ilvl w:val="0"/>
          <w:numId w:val="31"/>
        </w:numPr>
        <w:spacing w:after="160"/>
        <w:rPr>
          <w:rFonts w:eastAsia="Verdana" w:cs="Verdana"/>
          <w:lang w:val="pt-PT"/>
        </w:rPr>
      </w:pPr>
      <w:r w:rsidRPr="00FF7074">
        <w:rPr>
          <w:rFonts w:eastAsia="Verdana" w:cs="Verdana"/>
          <w:b/>
          <w:bCs/>
          <w:lang w:val="pt-PT"/>
        </w:rPr>
        <w:t xml:space="preserve">A invenção tem uma aplicação industrial? </w:t>
      </w:r>
      <w:r w:rsidRPr="00FF7074">
        <w:rPr>
          <w:rFonts w:eastAsia="Verdana" w:cs="Verdana"/>
          <w:lang w:val="pt-PT"/>
        </w:rPr>
        <w:t xml:space="preserve">Esta avaliação permite definir se haverá um produto comercial associado à invenção, caso contrário, não será possível obter um direito de patente sobre a invenção e terá de ser avaliado se o conhecimento deve ser protegido como segredo industrial ou se deve ser considerado uma contribuição científica para a área. </w:t>
      </w:r>
    </w:p>
    <w:p w14:paraId="384C0D2D" w14:textId="6C5D789E" w:rsidR="4C528AD0" w:rsidRPr="00FF7074" w:rsidRDefault="19F729CE" w:rsidP="00ED0CA1">
      <w:pPr>
        <w:pStyle w:val="PargrafodaLista"/>
        <w:numPr>
          <w:ilvl w:val="0"/>
          <w:numId w:val="31"/>
        </w:numPr>
        <w:spacing w:after="160"/>
        <w:rPr>
          <w:rFonts w:eastAsia="Verdana" w:cs="Verdana"/>
          <w:lang w:val="pt-PT"/>
        </w:rPr>
      </w:pPr>
      <w:r w:rsidRPr="00FF7074">
        <w:rPr>
          <w:rFonts w:eastAsia="Verdana" w:cs="Verdana"/>
          <w:b/>
          <w:bCs/>
          <w:lang w:val="pt-PT"/>
        </w:rPr>
        <w:t xml:space="preserve">Identificação dos </w:t>
      </w:r>
      <w:r w:rsidR="00FE2526" w:rsidRPr="00FF7074">
        <w:rPr>
          <w:rFonts w:eastAsia="Verdana" w:cs="Verdana"/>
          <w:b/>
          <w:bCs/>
          <w:lang w:val="pt-PT"/>
        </w:rPr>
        <w:t>ativos</w:t>
      </w:r>
      <w:r w:rsidRPr="00FF7074">
        <w:rPr>
          <w:rFonts w:eastAsia="Verdana" w:cs="Verdana"/>
          <w:b/>
          <w:bCs/>
          <w:lang w:val="pt-PT"/>
        </w:rPr>
        <w:t xml:space="preserve"> de PI, </w:t>
      </w:r>
      <w:r w:rsidRPr="00FF7074">
        <w:rPr>
          <w:rFonts w:eastAsia="Verdana" w:cs="Verdana"/>
          <w:lang w:val="pt-PT"/>
        </w:rPr>
        <w:t xml:space="preserve">recomenda-se que se confirme se a instituição dispõe de processos para identificar os seus próprios </w:t>
      </w:r>
      <w:r w:rsidR="00FE2526" w:rsidRPr="00FF7074">
        <w:rPr>
          <w:rFonts w:eastAsia="Verdana" w:cs="Verdana"/>
          <w:lang w:val="pt-PT"/>
        </w:rPr>
        <w:t>ativos</w:t>
      </w:r>
      <w:r w:rsidRPr="00FF7074">
        <w:rPr>
          <w:rFonts w:eastAsia="Verdana" w:cs="Verdana"/>
          <w:lang w:val="pt-PT"/>
        </w:rPr>
        <w:t xml:space="preserve"> de PI, tais como auditorias de PI, diligências devidas e utilização de listas de verificação de PI</w:t>
      </w:r>
      <w:r w:rsidR="62CAFF0D" w:rsidRPr="00FF7074">
        <w:rPr>
          <w:rFonts w:eastAsia="Verdana" w:cs="Verdana"/>
          <w:lang w:val="pt-PT"/>
        </w:rPr>
        <w:t>.</w:t>
      </w:r>
      <w:r w:rsidRPr="00FF7074">
        <w:rPr>
          <w:rFonts w:eastAsia="Verdana" w:cs="Verdana"/>
          <w:lang w:val="pt-PT"/>
        </w:rPr>
        <w:t xml:space="preserve"> </w:t>
      </w:r>
    </w:p>
    <w:p w14:paraId="6561138C" w14:textId="57FC69CB" w:rsidR="4C528AD0" w:rsidRPr="00FF7074" w:rsidRDefault="19F729CE" w:rsidP="00ED0CA1">
      <w:pPr>
        <w:pStyle w:val="PargrafodaLista"/>
        <w:numPr>
          <w:ilvl w:val="0"/>
          <w:numId w:val="31"/>
        </w:numPr>
        <w:spacing w:after="160"/>
        <w:rPr>
          <w:rFonts w:eastAsia="Verdana" w:cs="Verdana"/>
          <w:b/>
          <w:bCs/>
          <w:lang w:val="pt-PT"/>
        </w:rPr>
      </w:pPr>
      <w:r w:rsidRPr="00FF7074">
        <w:rPr>
          <w:rFonts w:eastAsia="Verdana" w:cs="Verdana"/>
          <w:b/>
          <w:bCs/>
          <w:lang w:val="pt-PT"/>
        </w:rPr>
        <w:lastRenderedPageBreak/>
        <w:t xml:space="preserve">Captura de </w:t>
      </w:r>
      <w:r w:rsidR="00FE2526" w:rsidRPr="00FF7074">
        <w:rPr>
          <w:rFonts w:eastAsia="Verdana" w:cs="Verdana"/>
          <w:b/>
          <w:bCs/>
          <w:lang w:val="pt-PT"/>
        </w:rPr>
        <w:t>ativos</w:t>
      </w:r>
      <w:r w:rsidRPr="00FF7074">
        <w:rPr>
          <w:rFonts w:eastAsia="Verdana" w:cs="Verdana"/>
          <w:b/>
          <w:bCs/>
          <w:lang w:val="pt-PT"/>
        </w:rPr>
        <w:t xml:space="preserve"> de PI, </w:t>
      </w:r>
      <w:r w:rsidRPr="00FF7074">
        <w:rPr>
          <w:rFonts w:eastAsia="Verdana" w:cs="Verdana"/>
          <w:lang w:val="pt-PT"/>
        </w:rPr>
        <w:t xml:space="preserve">acompanhamento dos procedimentos da instituição para a captura de </w:t>
      </w:r>
      <w:r w:rsidR="00FE2526" w:rsidRPr="00FF7074">
        <w:rPr>
          <w:rFonts w:eastAsia="Verdana" w:cs="Verdana"/>
          <w:lang w:val="pt-PT"/>
        </w:rPr>
        <w:t>ativos</w:t>
      </w:r>
      <w:r w:rsidRPr="00FF7074">
        <w:rPr>
          <w:rFonts w:eastAsia="Verdana" w:cs="Verdana"/>
          <w:lang w:val="pt-PT"/>
        </w:rPr>
        <w:t xml:space="preserve"> de PI. </w:t>
      </w:r>
    </w:p>
    <w:p w14:paraId="0F948A20" w14:textId="3212E571" w:rsidR="4C528AD0" w:rsidRPr="00FF7074" w:rsidRDefault="19F729CE" w:rsidP="00ED0CA1">
      <w:pPr>
        <w:pStyle w:val="PargrafodaLista"/>
        <w:numPr>
          <w:ilvl w:val="0"/>
          <w:numId w:val="31"/>
        </w:numPr>
        <w:spacing w:after="160"/>
        <w:rPr>
          <w:rFonts w:eastAsia="Verdana" w:cs="Verdana"/>
          <w:b/>
          <w:bCs/>
          <w:lang w:val="pt-PT"/>
        </w:rPr>
      </w:pPr>
      <w:r w:rsidRPr="00FF7074">
        <w:rPr>
          <w:rFonts w:eastAsia="Verdana" w:cs="Verdana"/>
          <w:b/>
          <w:bCs/>
          <w:lang w:val="pt-PT"/>
        </w:rPr>
        <w:t xml:space="preserve">Informações confidenciais, </w:t>
      </w:r>
      <w:r w:rsidRPr="00FF7074">
        <w:rPr>
          <w:rFonts w:eastAsia="Verdana" w:cs="Verdana"/>
          <w:lang w:val="pt-PT"/>
        </w:rPr>
        <w:t xml:space="preserve">acompanhar os procedimentos da instituição para evitar a divulgação da invenção (acordos de confidencialidade, segredos comerciais, acesso restrito, outros acordos) </w:t>
      </w:r>
    </w:p>
    <w:p w14:paraId="64A62E10" w14:textId="595754D1" w:rsidR="4C528AD0" w:rsidRPr="00FF7074" w:rsidRDefault="19F729CE" w:rsidP="00ED0CA1">
      <w:pPr>
        <w:pStyle w:val="PargrafodaLista"/>
        <w:numPr>
          <w:ilvl w:val="0"/>
          <w:numId w:val="31"/>
        </w:numPr>
        <w:spacing w:after="160"/>
        <w:rPr>
          <w:rFonts w:eastAsia="Verdana" w:cs="Verdana"/>
          <w:lang w:val="pt-PT"/>
        </w:rPr>
      </w:pPr>
      <w:r w:rsidRPr="00FF7074">
        <w:rPr>
          <w:rFonts w:eastAsia="Verdana" w:cs="Verdana"/>
          <w:b/>
          <w:bCs/>
          <w:lang w:val="pt-PT"/>
        </w:rPr>
        <w:t>Probabilidade de proteção da PI,</w:t>
      </w:r>
      <w:r w:rsidRPr="00FF7074">
        <w:rPr>
          <w:rFonts w:eastAsia="Verdana" w:cs="Verdana"/>
          <w:lang w:val="pt-PT"/>
        </w:rPr>
        <w:t xml:space="preserve"> determinar a probabilidade de obter proteção da PI através de pesquisas preliminares de patentes, desenhos, marcas comerciais, direitos de autor, nomes de domínio, direitos dos obtentores de plantas e quaisquer outros aplicáveis.</w:t>
      </w:r>
      <w:r w:rsidR="1820A45F" w:rsidRPr="00FF7074">
        <w:rPr>
          <w:rFonts w:eastAsia="Verdana" w:cs="Verdana"/>
          <w:lang w:val="pt-PT"/>
        </w:rPr>
        <w:t xml:space="preserve">         </w:t>
      </w:r>
    </w:p>
    <w:p w14:paraId="2F84A3C4" w14:textId="533A865D" w:rsidR="4C528AD0" w:rsidRPr="00FF7074" w:rsidRDefault="19F729CE" w:rsidP="00ED0CA1">
      <w:pPr>
        <w:pStyle w:val="PargrafodaLista"/>
        <w:numPr>
          <w:ilvl w:val="0"/>
          <w:numId w:val="31"/>
        </w:numPr>
        <w:spacing w:after="160"/>
        <w:rPr>
          <w:rFonts w:eastAsia="Verdana" w:cs="Verdana"/>
          <w:b/>
          <w:bCs/>
          <w:lang w:val="pt-PT"/>
        </w:rPr>
      </w:pPr>
      <w:r w:rsidRPr="00FF7074">
        <w:rPr>
          <w:rFonts w:eastAsia="Verdana" w:cs="Verdana"/>
          <w:b/>
          <w:bCs/>
          <w:lang w:val="pt-PT"/>
        </w:rPr>
        <w:t xml:space="preserve">Alianças, </w:t>
      </w:r>
      <w:proofErr w:type="gramStart"/>
      <w:r w:rsidRPr="00FF7074">
        <w:rPr>
          <w:rFonts w:eastAsia="Verdana" w:cs="Verdana"/>
          <w:lang w:val="pt-PT"/>
        </w:rPr>
        <w:t>Identificar</w:t>
      </w:r>
      <w:proofErr w:type="gramEnd"/>
      <w:r w:rsidRPr="00FF7074">
        <w:rPr>
          <w:rFonts w:eastAsia="Verdana" w:cs="Verdana"/>
          <w:lang w:val="pt-PT"/>
        </w:rPr>
        <w:t xml:space="preserve"> potenciais parceiros com quem colaborar no desenvolvimento e comercialização da ideia/conceito. Em caso de colaboração com terceiros, é necessário definir a propriedade e o acesso aos </w:t>
      </w:r>
      <w:r w:rsidR="00FE2526" w:rsidRPr="00FF7074">
        <w:rPr>
          <w:rFonts w:eastAsia="Verdana" w:cs="Verdana"/>
          <w:lang w:val="pt-PT"/>
        </w:rPr>
        <w:t>ativos</w:t>
      </w:r>
      <w:r w:rsidRPr="00FF7074">
        <w:rPr>
          <w:rFonts w:eastAsia="Verdana" w:cs="Verdana"/>
          <w:lang w:val="pt-PT"/>
        </w:rPr>
        <w:t xml:space="preserve"> de PI. </w:t>
      </w:r>
    </w:p>
    <w:p w14:paraId="321110F6" w14:textId="50980C03" w:rsidR="4C528AD0" w:rsidRPr="00FF7074" w:rsidRDefault="19F729CE" w:rsidP="00ED0CA1">
      <w:pPr>
        <w:pStyle w:val="PargrafodaLista"/>
        <w:numPr>
          <w:ilvl w:val="0"/>
          <w:numId w:val="31"/>
        </w:numPr>
        <w:spacing w:after="160"/>
        <w:rPr>
          <w:rFonts w:eastAsia="Verdana" w:cs="Verdana"/>
          <w:b/>
          <w:bCs/>
          <w:lang w:val="pt-PT"/>
        </w:rPr>
      </w:pPr>
      <w:r w:rsidRPr="00FF7074">
        <w:rPr>
          <w:rFonts w:eastAsia="Verdana" w:cs="Verdana"/>
          <w:b/>
          <w:bCs/>
          <w:lang w:val="pt-PT"/>
        </w:rPr>
        <w:t xml:space="preserve">Identificação da concorrência, </w:t>
      </w:r>
      <w:proofErr w:type="gramStart"/>
      <w:r w:rsidRPr="00FF7074">
        <w:rPr>
          <w:rFonts w:eastAsia="Verdana" w:cs="Verdana"/>
          <w:lang w:val="pt-PT"/>
        </w:rPr>
        <w:t>Identificar</w:t>
      </w:r>
      <w:proofErr w:type="gramEnd"/>
      <w:r w:rsidRPr="00FF7074">
        <w:rPr>
          <w:rFonts w:eastAsia="Verdana" w:cs="Verdana"/>
          <w:lang w:val="pt-PT"/>
        </w:rPr>
        <w:t xml:space="preserve"> potenciais concorrentes e a probabilidade de violação de direitos de terceiros aquando da implementação da ideia/conceito.</w:t>
      </w:r>
      <w:r w:rsidRPr="00FF7074">
        <w:rPr>
          <w:rFonts w:eastAsia="Verdana" w:cs="Verdana"/>
          <w:b/>
          <w:bCs/>
          <w:lang w:val="pt-PT"/>
        </w:rPr>
        <w:t xml:space="preserve"> </w:t>
      </w:r>
    </w:p>
    <w:p w14:paraId="57B02A97" w14:textId="52B22611" w:rsidR="4C528AD0" w:rsidRPr="00FF7074" w:rsidRDefault="4C528AD0" w:rsidP="2D5C803A">
      <w:pPr>
        <w:spacing w:after="160"/>
        <w:ind w:firstLine="0"/>
        <w:rPr>
          <w:rFonts w:eastAsia="Verdana" w:cs="Verdana"/>
          <w:b/>
          <w:bCs/>
          <w:color w:val="000000"/>
          <w:lang w:val="pt-PT"/>
        </w:rPr>
      </w:pPr>
    </w:p>
    <w:p w14:paraId="43CC85DE" w14:textId="6004AA2B" w:rsidR="4C528AD0" w:rsidRPr="00FF7074" w:rsidRDefault="19F729CE" w:rsidP="2D5C803A">
      <w:pPr>
        <w:spacing w:after="160"/>
        <w:ind w:firstLine="0"/>
        <w:rPr>
          <w:lang w:val="pt-PT"/>
        </w:rPr>
      </w:pPr>
      <w:r w:rsidRPr="00FF7074">
        <w:rPr>
          <w:rFonts w:eastAsia="Verdana" w:cs="Verdana"/>
          <w:b/>
          <w:bCs/>
          <w:color w:val="000000"/>
          <w:lang w:val="pt-PT"/>
        </w:rPr>
        <w:t xml:space="preserve">Fase II. Desenvolvimento de produtos e serviços </w:t>
      </w:r>
    </w:p>
    <w:p w14:paraId="7387B2FF" w14:textId="3E1DD167" w:rsidR="4C528AD0" w:rsidRPr="00FF7074" w:rsidRDefault="19F729CE" w:rsidP="00ED0CA1">
      <w:pPr>
        <w:pStyle w:val="PargrafodaLista"/>
        <w:numPr>
          <w:ilvl w:val="0"/>
          <w:numId w:val="30"/>
        </w:numPr>
        <w:spacing w:after="160"/>
        <w:rPr>
          <w:lang w:val="pt-PT"/>
        </w:rPr>
      </w:pPr>
      <w:r w:rsidRPr="00FF7074">
        <w:rPr>
          <w:rFonts w:eastAsia="Verdana" w:cs="Verdana"/>
          <w:b/>
          <w:bCs/>
          <w:lang w:val="pt-PT"/>
        </w:rPr>
        <w:t xml:space="preserve">Estudos sobre a liberdade de funcionamento (FTO), </w:t>
      </w:r>
      <w:proofErr w:type="gramStart"/>
      <w:r w:rsidRPr="00FF7074">
        <w:rPr>
          <w:rFonts w:eastAsia="Verdana" w:cs="Verdana"/>
          <w:lang w:val="pt-PT"/>
        </w:rPr>
        <w:t>Realizar</w:t>
      </w:r>
      <w:proofErr w:type="gramEnd"/>
      <w:r w:rsidRPr="00FF7074">
        <w:rPr>
          <w:rFonts w:eastAsia="Verdana" w:cs="Verdana"/>
          <w:lang w:val="pt-PT"/>
        </w:rPr>
        <w:t xml:space="preserve"> um estudo sobre a liberdade de funcionamento para identificar o panorama da PI, a liberdade de funcionamento e a presença de concorrentes nos territórios de interesse. </w:t>
      </w:r>
    </w:p>
    <w:p w14:paraId="15E7BF70" w14:textId="332428A7" w:rsidR="4C528AD0" w:rsidRPr="00FF7074" w:rsidRDefault="19F729CE" w:rsidP="00ED0CA1">
      <w:pPr>
        <w:pStyle w:val="PargrafodaLista"/>
        <w:numPr>
          <w:ilvl w:val="0"/>
          <w:numId w:val="30"/>
        </w:numPr>
        <w:spacing w:after="160"/>
        <w:rPr>
          <w:lang w:val="pt-PT"/>
        </w:rPr>
      </w:pPr>
      <w:r w:rsidRPr="00FF7074">
        <w:rPr>
          <w:rFonts w:eastAsia="Verdana" w:cs="Verdana"/>
          <w:b/>
          <w:bCs/>
          <w:lang w:val="pt-PT"/>
        </w:rPr>
        <w:t xml:space="preserve">Pesquisas de PI, </w:t>
      </w:r>
      <w:proofErr w:type="gramStart"/>
      <w:r w:rsidRPr="00FF7074">
        <w:rPr>
          <w:rFonts w:eastAsia="Verdana" w:cs="Verdana"/>
          <w:lang w:val="pt-PT"/>
        </w:rPr>
        <w:t>Realizar</w:t>
      </w:r>
      <w:proofErr w:type="gramEnd"/>
      <w:r w:rsidRPr="00FF7074">
        <w:rPr>
          <w:rFonts w:eastAsia="Verdana" w:cs="Verdana"/>
          <w:lang w:val="pt-PT"/>
        </w:rPr>
        <w:t xml:space="preserve"> pesquisas periódicas de PI e tecnologia para determinar a probabilidade de obter proteção para inovações, bem como para identificar tendências tecnológicas e possíveis melhorias adicionais à invenção. </w:t>
      </w:r>
    </w:p>
    <w:p w14:paraId="085D766E" w14:textId="02CCEAD0" w:rsidR="4C528AD0" w:rsidRPr="00FF7074" w:rsidRDefault="19F729CE" w:rsidP="00ED0CA1">
      <w:pPr>
        <w:pStyle w:val="PargrafodaLista"/>
        <w:numPr>
          <w:ilvl w:val="0"/>
          <w:numId w:val="30"/>
        </w:numPr>
        <w:spacing w:after="160"/>
        <w:rPr>
          <w:lang w:val="pt-PT"/>
        </w:rPr>
      </w:pPr>
      <w:r w:rsidRPr="00FF7074">
        <w:rPr>
          <w:rFonts w:eastAsia="Verdana" w:cs="Verdana"/>
          <w:b/>
          <w:bCs/>
          <w:lang w:val="pt-PT"/>
        </w:rPr>
        <w:t xml:space="preserve">Direitos de terceiros, </w:t>
      </w:r>
      <w:proofErr w:type="gramStart"/>
      <w:r w:rsidRPr="00FF7074">
        <w:rPr>
          <w:rFonts w:eastAsia="Verdana" w:cs="Verdana"/>
          <w:lang w:val="pt-PT"/>
        </w:rPr>
        <w:t>Definir</w:t>
      </w:r>
      <w:proofErr w:type="gramEnd"/>
      <w:r w:rsidRPr="00FF7074">
        <w:rPr>
          <w:rFonts w:eastAsia="Verdana" w:cs="Verdana"/>
          <w:lang w:val="pt-PT"/>
        </w:rPr>
        <w:t xml:space="preserve"> o âmbito do direito sobre os </w:t>
      </w:r>
      <w:r w:rsidR="00FE2526" w:rsidRPr="00FF7074">
        <w:rPr>
          <w:rFonts w:eastAsia="Verdana" w:cs="Verdana"/>
          <w:lang w:val="pt-PT"/>
        </w:rPr>
        <w:t>ativos</w:t>
      </w:r>
      <w:r w:rsidRPr="00FF7074">
        <w:rPr>
          <w:rFonts w:eastAsia="Verdana" w:cs="Verdana"/>
          <w:lang w:val="pt-PT"/>
        </w:rPr>
        <w:t xml:space="preserve"> de PI de terceiros envolvidos no desenvolvimento do produto (comerciantes, investidores, colaboradores de I&amp;D e acordos de licenciamento). </w:t>
      </w:r>
    </w:p>
    <w:p w14:paraId="7F124C21" w14:textId="0DF1F77E" w:rsidR="4C528AD0" w:rsidRPr="00FF7074" w:rsidRDefault="19F729CE" w:rsidP="2D5C803A">
      <w:pPr>
        <w:spacing w:after="160"/>
        <w:ind w:left="720" w:firstLine="0"/>
        <w:rPr>
          <w:color w:val="000000"/>
          <w:lang w:val="pt-PT"/>
        </w:rPr>
      </w:pPr>
      <w:r w:rsidRPr="00FF7074">
        <w:rPr>
          <w:rFonts w:eastAsia="Verdana" w:cs="Verdana"/>
          <w:color w:val="000000"/>
          <w:lang w:val="pt-PT"/>
        </w:rPr>
        <w:t xml:space="preserve">Recomenda-se a revisão do direito sobre a utilização dos resultados da investigação de terceiros, bem como a possível utilização de </w:t>
      </w:r>
      <w:r w:rsidR="00FE2526" w:rsidRPr="00FF7074">
        <w:rPr>
          <w:rFonts w:eastAsia="Verdana" w:cs="Verdana"/>
          <w:color w:val="000000"/>
          <w:lang w:val="pt-PT"/>
        </w:rPr>
        <w:t>ativos</w:t>
      </w:r>
      <w:r w:rsidRPr="00FF7074">
        <w:rPr>
          <w:rFonts w:eastAsia="Verdana" w:cs="Verdana"/>
          <w:color w:val="000000"/>
          <w:lang w:val="pt-PT"/>
        </w:rPr>
        <w:t xml:space="preserve"> de PI de entidades externas à instituição. </w:t>
      </w:r>
    </w:p>
    <w:p w14:paraId="237DFA19" w14:textId="06DF97DF" w:rsidR="4C528AD0" w:rsidRPr="00FF7074" w:rsidRDefault="19F729CE" w:rsidP="00ED0CA1">
      <w:pPr>
        <w:pStyle w:val="PargrafodaLista"/>
        <w:numPr>
          <w:ilvl w:val="0"/>
          <w:numId w:val="30"/>
        </w:numPr>
        <w:spacing w:after="160"/>
        <w:rPr>
          <w:lang w:val="pt-PT"/>
        </w:rPr>
      </w:pPr>
      <w:r w:rsidRPr="00FF7074">
        <w:rPr>
          <w:rFonts w:eastAsia="Verdana" w:cs="Verdana"/>
          <w:b/>
          <w:bCs/>
          <w:lang w:val="pt-PT"/>
        </w:rPr>
        <w:t xml:space="preserve">Instrumentos de comercialização, </w:t>
      </w:r>
      <w:r w:rsidRPr="00FF7074">
        <w:rPr>
          <w:rFonts w:eastAsia="Verdana" w:cs="Verdana"/>
          <w:lang w:val="pt-PT"/>
        </w:rPr>
        <w:t xml:space="preserve">definir o modelo de comercialização mais adequado (fabrico, venda, licenciamento, etc.).  </w:t>
      </w:r>
    </w:p>
    <w:p w14:paraId="12DAF2F0" w14:textId="664E3FEB" w:rsidR="4C528AD0" w:rsidRPr="00FF7074" w:rsidRDefault="19F729CE" w:rsidP="00ED0CA1">
      <w:pPr>
        <w:pStyle w:val="PargrafodaLista"/>
        <w:numPr>
          <w:ilvl w:val="0"/>
          <w:numId w:val="30"/>
        </w:numPr>
        <w:spacing w:after="160"/>
        <w:rPr>
          <w:b/>
          <w:bCs/>
          <w:lang w:val="pt-PT"/>
        </w:rPr>
      </w:pPr>
      <w:r w:rsidRPr="00FF7074">
        <w:rPr>
          <w:rFonts w:eastAsia="Verdana" w:cs="Verdana"/>
          <w:b/>
          <w:bCs/>
          <w:lang w:val="pt-PT"/>
        </w:rPr>
        <w:lastRenderedPageBreak/>
        <w:t xml:space="preserve">Definição da estratégia de PI, </w:t>
      </w:r>
      <w:r w:rsidRPr="00FF7074">
        <w:rPr>
          <w:rFonts w:eastAsia="Verdana" w:cs="Verdana"/>
          <w:lang w:val="pt-PT"/>
        </w:rPr>
        <w:t xml:space="preserve">definição da estratégia de proteção por uma comissão técnica interna, considerando a informação obtida nos pontos anteriores. </w:t>
      </w:r>
    </w:p>
    <w:p w14:paraId="34236512" w14:textId="27E905E0" w:rsidR="4C528AD0" w:rsidRPr="00FF7074" w:rsidRDefault="19F729CE" w:rsidP="2D5C803A">
      <w:pPr>
        <w:spacing w:after="160"/>
        <w:ind w:firstLine="0"/>
        <w:rPr>
          <w:rFonts w:eastAsia="Verdana" w:cs="Verdana"/>
          <w:b/>
          <w:bCs/>
          <w:color w:val="000000"/>
          <w:lang w:val="pt-PT"/>
        </w:rPr>
      </w:pPr>
      <w:r w:rsidRPr="00FF7074">
        <w:rPr>
          <w:rFonts w:eastAsia="Verdana" w:cs="Verdana"/>
          <w:b/>
          <w:bCs/>
          <w:color w:val="000000"/>
          <w:lang w:val="pt-PT"/>
        </w:rPr>
        <w:t xml:space="preserve"> </w:t>
      </w:r>
    </w:p>
    <w:p w14:paraId="1A4D2C6B" w14:textId="5A2960A9" w:rsidR="4C528AD0" w:rsidRPr="00FF7074" w:rsidRDefault="19F729CE" w:rsidP="2D5C803A">
      <w:pPr>
        <w:spacing w:after="160"/>
        <w:ind w:firstLine="0"/>
        <w:rPr>
          <w:rFonts w:eastAsia="Verdana" w:cs="Verdana"/>
          <w:b/>
          <w:bCs/>
          <w:color w:val="000000"/>
          <w:lang w:val="pt-PT"/>
        </w:rPr>
      </w:pPr>
      <w:r w:rsidRPr="00FF7074">
        <w:rPr>
          <w:rFonts w:eastAsia="Verdana" w:cs="Verdana"/>
          <w:b/>
          <w:bCs/>
          <w:color w:val="000000"/>
          <w:lang w:val="pt-PT"/>
        </w:rPr>
        <w:t xml:space="preserve">Fase III. Proteção da PI </w:t>
      </w:r>
      <w:r w:rsidR="0373A293" w:rsidRPr="00FF7074">
        <w:rPr>
          <w:rFonts w:eastAsia="Verdana" w:cs="Verdana"/>
          <w:b/>
          <w:bCs/>
          <w:color w:val="000000"/>
          <w:lang w:val="pt-PT"/>
        </w:rPr>
        <w:t xml:space="preserve">                                      </w:t>
      </w:r>
    </w:p>
    <w:p w14:paraId="7D2DE8CC" w14:textId="611BD50C" w:rsidR="4C528AD0" w:rsidRPr="00FF7074" w:rsidRDefault="19F729CE" w:rsidP="00ED0CA1">
      <w:pPr>
        <w:pStyle w:val="PargrafodaLista"/>
        <w:numPr>
          <w:ilvl w:val="0"/>
          <w:numId w:val="29"/>
        </w:numPr>
        <w:spacing w:after="160"/>
        <w:rPr>
          <w:b/>
          <w:bCs/>
          <w:lang w:val="pt-PT"/>
        </w:rPr>
      </w:pPr>
      <w:r w:rsidRPr="00FF7074">
        <w:rPr>
          <w:rFonts w:eastAsia="Verdana" w:cs="Verdana"/>
          <w:b/>
          <w:bCs/>
          <w:lang w:val="pt-PT"/>
        </w:rPr>
        <w:t xml:space="preserve">Estratégia de proteção da PI, </w:t>
      </w:r>
      <w:r w:rsidRPr="00FF7074">
        <w:rPr>
          <w:rFonts w:eastAsia="Verdana" w:cs="Verdana"/>
          <w:lang w:val="pt-PT"/>
        </w:rPr>
        <w:t xml:space="preserve">implementação de uma estratégia de proteção que abranja possíveis patentes, segredos comerciais, desenhos, marcas, código aberto, direitos de obtentores de plantas e direitos de autor. </w:t>
      </w:r>
    </w:p>
    <w:p w14:paraId="5054F14E" w14:textId="78BEC274" w:rsidR="4C528AD0" w:rsidRPr="00FF7074" w:rsidRDefault="19F729CE" w:rsidP="00ED0CA1">
      <w:pPr>
        <w:pStyle w:val="PargrafodaLista"/>
        <w:numPr>
          <w:ilvl w:val="0"/>
          <w:numId w:val="29"/>
        </w:numPr>
        <w:spacing w:after="160"/>
        <w:rPr>
          <w:lang w:val="pt-PT"/>
        </w:rPr>
      </w:pPr>
      <w:r w:rsidRPr="00FF7074">
        <w:rPr>
          <w:rFonts w:eastAsia="Verdana" w:cs="Verdana"/>
          <w:b/>
          <w:bCs/>
          <w:lang w:val="pt-PT"/>
        </w:rPr>
        <w:t>Priorização da proteção da PI,</w:t>
      </w:r>
      <w:r w:rsidRPr="00FF7074">
        <w:rPr>
          <w:rFonts w:eastAsia="Verdana" w:cs="Verdana"/>
          <w:lang w:val="pt-PT"/>
        </w:rPr>
        <w:t xml:space="preserve"> monitorização dos prazos e requisitos de apresentação para cada um dos direitos de PI definidos. A definição </w:t>
      </w:r>
      <w:r w:rsidR="00FE2526" w:rsidRPr="00FF7074">
        <w:rPr>
          <w:rFonts w:eastAsia="Verdana" w:cs="Verdana"/>
          <w:lang w:val="pt-PT"/>
        </w:rPr>
        <w:t>correta</w:t>
      </w:r>
      <w:r w:rsidRPr="00FF7074">
        <w:rPr>
          <w:rFonts w:eastAsia="Verdana" w:cs="Verdana"/>
          <w:lang w:val="pt-PT"/>
        </w:rPr>
        <w:t xml:space="preserve"> de um calendário de proteção permitirá a apresentação de fases nacionais e de diferentes modalidades de direitos de forma adequada e sem interferências. </w:t>
      </w:r>
    </w:p>
    <w:p w14:paraId="69E38F47" w14:textId="2EB5DED6" w:rsidR="4C528AD0" w:rsidRPr="00FF7074" w:rsidRDefault="19F729CE" w:rsidP="00ED0CA1">
      <w:pPr>
        <w:pStyle w:val="PargrafodaLista"/>
        <w:numPr>
          <w:ilvl w:val="0"/>
          <w:numId w:val="29"/>
        </w:numPr>
        <w:spacing w:after="160"/>
        <w:rPr>
          <w:b/>
          <w:bCs/>
          <w:lang w:val="pt-PT"/>
        </w:rPr>
      </w:pPr>
      <w:r w:rsidRPr="00FF7074">
        <w:rPr>
          <w:rFonts w:eastAsia="Verdana" w:cs="Verdana"/>
          <w:b/>
          <w:bCs/>
          <w:lang w:val="pt-PT"/>
        </w:rPr>
        <w:t xml:space="preserve">Controlo da propriedade, </w:t>
      </w:r>
      <w:r w:rsidRPr="00FF7074">
        <w:rPr>
          <w:rFonts w:eastAsia="Verdana" w:cs="Verdana"/>
          <w:lang w:val="pt-PT"/>
        </w:rPr>
        <w:t xml:space="preserve">controlo do âmbito do reconhecimento dos direitos de PI para a instituição e potenciais terceiros envolvidos no desenvolvimento da tecnologia. </w:t>
      </w:r>
    </w:p>
    <w:p w14:paraId="53FCB7DA" w14:textId="063F4EBA" w:rsidR="4C528AD0" w:rsidRPr="00FF7074" w:rsidRDefault="19F729CE" w:rsidP="00ED0CA1">
      <w:pPr>
        <w:pStyle w:val="PargrafodaLista"/>
        <w:numPr>
          <w:ilvl w:val="0"/>
          <w:numId w:val="29"/>
        </w:numPr>
        <w:spacing w:after="160"/>
        <w:rPr>
          <w:b/>
          <w:bCs/>
          <w:lang w:val="pt-PT"/>
        </w:rPr>
      </w:pPr>
      <w:r w:rsidRPr="00FF7074">
        <w:rPr>
          <w:rFonts w:eastAsia="Verdana" w:cs="Verdana"/>
          <w:b/>
          <w:bCs/>
          <w:lang w:val="pt-PT"/>
        </w:rPr>
        <w:t xml:space="preserve">Proteção não registável dos </w:t>
      </w:r>
      <w:r w:rsidR="00FE2526" w:rsidRPr="00FF7074">
        <w:rPr>
          <w:rFonts w:eastAsia="Verdana" w:cs="Verdana"/>
          <w:b/>
          <w:bCs/>
          <w:lang w:val="pt-PT"/>
        </w:rPr>
        <w:t>ativos</w:t>
      </w:r>
      <w:r w:rsidRPr="00FF7074">
        <w:rPr>
          <w:rFonts w:eastAsia="Verdana" w:cs="Verdana"/>
          <w:b/>
          <w:bCs/>
          <w:lang w:val="pt-PT"/>
        </w:rPr>
        <w:t xml:space="preserve"> de PI, </w:t>
      </w:r>
      <w:r w:rsidRPr="00FF7074">
        <w:rPr>
          <w:rFonts w:eastAsia="Verdana" w:cs="Verdana"/>
          <w:lang w:val="pt-PT"/>
        </w:rPr>
        <w:t xml:space="preserve">proteção de formas não registáveis de PI, como o saber-fazer, os segredos comerciais ou os modelos empresariais. </w:t>
      </w:r>
    </w:p>
    <w:p w14:paraId="2E97F579" w14:textId="3BD1B52C" w:rsidR="4C528AD0" w:rsidRPr="00FF7074" w:rsidRDefault="19F729CE" w:rsidP="00ED0CA1">
      <w:pPr>
        <w:pStyle w:val="PargrafodaLista"/>
        <w:numPr>
          <w:ilvl w:val="0"/>
          <w:numId w:val="29"/>
        </w:numPr>
        <w:spacing w:after="160"/>
        <w:rPr>
          <w:lang w:val="pt-PT"/>
        </w:rPr>
      </w:pPr>
      <w:r w:rsidRPr="00FF7074">
        <w:rPr>
          <w:rFonts w:eastAsia="Verdana" w:cs="Verdana"/>
          <w:b/>
          <w:bCs/>
          <w:lang w:val="pt-PT"/>
        </w:rPr>
        <w:t xml:space="preserve">Aconselhamento em matéria de PI, </w:t>
      </w:r>
      <w:r w:rsidRPr="00FF7074">
        <w:rPr>
          <w:rFonts w:eastAsia="Verdana" w:cs="Verdana"/>
          <w:lang w:val="pt-PT"/>
        </w:rPr>
        <w:t xml:space="preserve">sugere-se o aconselhamento por parte de peritos em PI para garantir o processamento correto dos pedidos gerados, bem como a conformidade com os requisitos das autoridades locais de PI. </w:t>
      </w:r>
    </w:p>
    <w:p w14:paraId="2A4A2C2A" w14:textId="6351949D" w:rsidR="4C528AD0" w:rsidRPr="00FF7074" w:rsidRDefault="19F729CE" w:rsidP="00ED0CA1">
      <w:pPr>
        <w:pStyle w:val="PargrafodaLista"/>
        <w:numPr>
          <w:ilvl w:val="0"/>
          <w:numId w:val="29"/>
        </w:numPr>
        <w:spacing w:after="160"/>
        <w:rPr>
          <w:b/>
          <w:bCs/>
          <w:lang w:val="pt-PT"/>
        </w:rPr>
      </w:pPr>
      <w:r w:rsidRPr="00FF7074">
        <w:rPr>
          <w:rFonts w:eastAsia="Verdana" w:cs="Verdana"/>
          <w:b/>
          <w:bCs/>
          <w:lang w:val="pt-PT"/>
        </w:rPr>
        <w:t>Ajustamento da estratégia de PI,</w:t>
      </w:r>
      <w:r w:rsidRPr="00FF7074">
        <w:rPr>
          <w:rFonts w:eastAsia="Verdana" w:cs="Verdana"/>
          <w:lang w:val="pt-PT"/>
        </w:rPr>
        <w:t xml:space="preserve"> se necessário, efetuar quaisquer ajustamentos adequados à estratégia de PI. Estes ajustamentos podem incluir alterações dos valores de proteção, modificação do âmbito da proteção, ajustamento dos territórios onde a proteção da invenção será solicitada, adição de novos valores de PI. </w:t>
      </w:r>
    </w:p>
    <w:p w14:paraId="3E19D707" w14:textId="463CC9D8" w:rsidR="4C528AD0" w:rsidRPr="00FF7074" w:rsidRDefault="4C528AD0" w:rsidP="2D5C803A">
      <w:pPr>
        <w:spacing w:after="160"/>
        <w:ind w:firstLine="0"/>
        <w:rPr>
          <w:rFonts w:eastAsia="Verdana" w:cs="Verdana"/>
          <w:b/>
          <w:bCs/>
          <w:color w:val="000000"/>
          <w:lang w:val="pt-PT"/>
        </w:rPr>
      </w:pPr>
    </w:p>
    <w:p w14:paraId="0D954B43" w14:textId="539855B7" w:rsidR="4C528AD0" w:rsidRPr="00FF7074" w:rsidRDefault="19F729CE" w:rsidP="2D5C803A">
      <w:pPr>
        <w:spacing w:after="160"/>
        <w:ind w:firstLine="0"/>
        <w:rPr>
          <w:lang w:val="pt-PT"/>
        </w:rPr>
      </w:pPr>
      <w:r w:rsidRPr="00FF7074">
        <w:rPr>
          <w:rFonts w:eastAsia="Verdana" w:cs="Verdana"/>
          <w:b/>
          <w:bCs/>
          <w:color w:val="000000"/>
          <w:lang w:val="pt-PT"/>
        </w:rPr>
        <w:t xml:space="preserve">Fase IV. Comercialização da PI </w:t>
      </w:r>
    </w:p>
    <w:p w14:paraId="19B75970" w14:textId="0BED24C4" w:rsidR="4C528AD0" w:rsidRPr="00FF7074" w:rsidRDefault="19F729CE" w:rsidP="00ED0CA1">
      <w:pPr>
        <w:pStyle w:val="PargrafodaLista"/>
        <w:numPr>
          <w:ilvl w:val="0"/>
          <w:numId w:val="32"/>
        </w:numPr>
        <w:spacing w:after="160"/>
        <w:rPr>
          <w:rFonts w:eastAsia="Verdana" w:cs="Verdana"/>
          <w:lang w:val="pt-PT"/>
        </w:rPr>
      </w:pPr>
      <w:r w:rsidRPr="00FF7074">
        <w:rPr>
          <w:rFonts w:eastAsia="Verdana" w:cs="Verdana"/>
          <w:b/>
          <w:bCs/>
          <w:lang w:val="pt-PT"/>
        </w:rPr>
        <w:t xml:space="preserve">Avaliação dos </w:t>
      </w:r>
      <w:r w:rsidR="00FE2526" w:rsidRPr="00FF7074">
        <w:rPr>
          <w:rFonts w:eastAsia="Verdana" w:cs="Verdana"/>
          <w:b/>
          <w:bCs/>
          <w:lang w:val="pt-PT"/>
        </w:rPr>
        <w:t>ativos</w:t>
      </w:r>
      <w:r w:rsidRPr="00FF7074">
        <w:rPr>
          <w:rFonts w:eastAsia="Verdana" w:cs="Verdana"/>
          <w:b/>
          <w:bCs/>
          <w:lang w:val="pt-PT"/>
        </w:rPr>
        <w:t xml:space="preserve"> de PI, </w:t>
      </w:r>
      <w:r w:rsidRPr="00FF7074">
        <w:rPr>
          <w:rFonts w:eastAsia="Verdana" w:cs="Verdana"/>
          <w:lang w:val="pt-PT"/>
        </w:rPr>
        <w:t xml:space="preserve">avaliação dos </w:t>
      </w:r>
      <w:r w:rsidR="00FE2526" w:rsidRPr="00FF7074">
        <w:rPr>
          <w:rFonts w:eastAsia="Verdana" w:cs="Verdana"/>
          <w:lang w:val="pt-PT"/>
        </w:rPr>
        <w:t>ativos</w:t>
      </w:r>
      <w:r w:rsidRPr="00FF7074">
        <w:rPr>
          <w:rFonts w:eastAsia="Verdana" w:cs="Verdana"/>
          <w:lang w:val="pt-PT"/>
        </w:rPr>
        <w:t xml:space="preserve"> de PI, em especial os licenciados como parte do modelo de negócio ou da estratégia de fixação de preços do produto (por exemplo, planeamento de reivindicações contra produtos/serviços concorrentes).</w:t>
      </w:r>
    </w:p>
    <w:p w14:paraId="41CB2B21" w14:textId="4436050D" w:rsidR="4C528AD0" w:rsidRPr="00FF7074" w:rsidRDefault="19F729CE" w:rsidP="00ED0CA1">
      <w:pPr>
        <w:pStyle w:val="PargrafodaLista"/>
        <w:numPr>
          <w:ilvl w:val="0"/>
          <w:numId w:val="32"/>
        </w:numPr>
        <w:spacing w:after="160"/>
        <w:rPr>
          <w:rFonts w:eastAsia="Verdana" w:cs="Verdana"/>
          <w:lang w:val="pt-PT"/>
        </w:rPr>
      </w:pPr>
      <w:r w:rsidRPr="00FF7074">
        <w:rPr>
          <w:rFonts w:eastAsia="Verdana" w:cs="Verdana"/>
          <w:b/>
          <w:bCs/>
          <w:lang w:val="pt-PT"/>
        </w:rPr>
        <w:t xml:space="preserve">Acompanhamento da concorrência, </w:t>
      </w:r>
      <w:r w:rsidRPr="00FF7074">
        <w:rPr>
          <w:rFonts w:eastAsia="Verdana" w:cs="Verdana"/>
          <w:lang w:val="pt-PT"/>
        </w:rPr>
        <w:t xml:space="preserve">monitorização da atividade dos concorrentes, novos desenvolvimentos introduzidos no mercado e estratégia de aplicação dos seus direitos de PI.            </w:t>
      </w:r>
    </w:p>
    <w:p w14:paraId="6C74FD2A" w14:textId="0CB4878A" w:rsidR="4C528AD0" w:rsidRPr="00FF7074" w:rsidRDefault="19F729CE" w:rsidP="00ED0CA1">
      <w:pPr>
        <w:pStyle w:val="PargrafodaLista"/>
        <w:numPr>
          <w:ilvl w:val="0"/>
          <w:numId w:val="32"/>
        </w:numPr>
        <w:spacing w:after="160"/>
        <w:rPr>
          <w:rFonts w:eastAsia="Verdana" w:cs="Verdana"/>
          <w:lang w:val="pt-PT"/>
        </w:rPr>
      </w:pPr>
      <w:r w:rsidRPr="00FF7074">
        <w:rPr>
          <w:rFonts w:eastAsia="Verdana" w:cs="Verdana"/>
          <w:b/>
          <w:bCs/>
          <w:lang w:val="pt-PT"/>
        </w:rPr>
        <w:lastRenderedPageBreak/>
        <w:t xml:space="preserve">Imagem de marca, </w:t>
      </w:r>
      <w:r w:rsidRPr="00FF7074">
        <w:rPr>
          <w:rFonts w:eastAsia="Verdana" w:cs="Verdana"/>
          <w:lang w:val="pt-PT"/>
        </w:rPr>
        <w:t xml:space="preserve">identificação adequada da imagem do produto ou serviço (marca, embalagem, sítios Web, nomes de domínio). </w:t>
      </w:r>
    </w:p>
    <w:p w14:paraId="4DB8B199" w14:textId="7A5B17FE" w:rsidR="4C528AD0" w:rsidRPr="00FF7074" w:rsidRDefault="19F729CE" w:rsidP="00ED0CA1">
      <w:pPr>
        <w:pStyle w:val="PargrafodaLista"/>
        <w:numPr>
          <w:ilvl w:val="0"/>
          <w:numId w:val="32"/>
        </w:numPr>
        <w:spacing w:after="160"/>
        <w:rPr>
          <w:rFonts w:eastAsia="Verdana" w:cs="Verdana"/>
          <w:lang w:val="pt-PT"/>
        </w:rPr>
      </w:pPr>
      <w:r w:rsidRPr="00FF7074">
        <w:rPr>
          <w:rFonts w:eastAsia="Verdana" w:cs="Verdana"/>
          <w:b/>
          <w:bCs/>
          <w:lang w:val="pt-PT"/>
        </w:rPr>
        <w:t xml:space="preserve">Revisão dos </w:t>
      </w:r>
      <w:r w:rsidR="00FE2526" w:rsidRPr="00FF7074">
        <w:rPr>
          <w:rFonts w:eastAsia="Verdana" w:cs="Verdana"/>
          <w:b/>
          <w:bCs/>
          <w:lang w:val="pt-PT"/>
        </w:rPr>
        <w:t>ativos</w:t>
      </w:r>
      <w:r w:rsidRPr="00FF7074">
        <w:rPr>
          <w:rFonts w:eastAsia="Verdana" w:cs="Verdana"/>
          <w:b/>
          <w:bCs/>
          <w:lang w:val="pt-PT"/>
        </w:rPr>
        <w:t xml:space="preserve"> de PI, </w:t>
      </w:r>
      <w:r w:rsidRPr="00FF7074">
        <w:rPr>
          <w:rFonts w:eastAsia="Verdana" w:cs="Verdana"/>
          <w:lang w:val="pt-PT"/>
        </w:rPr>
        <w:t xml:space="preserve">monitorização do estado dos direitos de PI, renovações, pagamentos de anuidades, oposições e quaisquer outros aplicáveis. </w:t>
      </w:r>
    </w:p>
    <w:p w14:paraId="5428B16D" w14:textId="0A4FC74C" w:rsidR="4C528AD0" w:rsidRPr="00776F06" w:rsidRDefault="19F729CE" w:rsidP="00776F06">
      <w:pPr>
        <w:pStyle w:val="PargrafodaLista"/>
        <w:numPr>
          <w:ilvl w:val="0"/>
          <w:numId w:val="32"/>
        </w:numPr>
        <w:spacing w:after="160"/>
        <w:rPr>
          <w:rFonts w:eastAsia="Verdana" w:cs="Verdana"/>
          <w:lang w:val="pt-PT"/>
        </w:rPr>
      </w:pPr>
      <w:r w:rsidRPr="00FF7074">
        <w:rPr>
          <w:rFonts w:eastAsia="Verdana" w:cs="Verdana"/>
          <w:b/>
          <w:bCs/>
          <w:lang w:val="pt-PT"/>
        </w:rPr>
        <w:t xml:space="preserve">Auditoria de PI, </w:t>
      </w:r>
      <w:r w:rsidRPr="00FF7074">
        <w:rPr>
          <w:rFonts w:eastAsia="Verdana" w:cs="Verdana"/>
          <w:lang w:val="pt-PT"/>
        </w:rPr>
        <w:t xml:space="preserve">procedimentos para auditorias periódicas de </w:t>
      </w:r>
      <w:r w:rsidR="00FE2526" w:rsidRPr="00FF7074">
        <w:rPr>
          <w:rFonts w:eastAsia="Verdana" w:cs="Verdana"/>
          <w:lang w:val="pt-PT"/>
        </w:rPr>
        <w:t>ativos</w:t>
      </w:r>
      <w:r w:rsidRPr="00FF7074">
        <w:rPr>
          <w:rFonts w:eastAsia="Verdana" w:cs="Verdana"/>
          <w:lang w:val="pt-PT"/>
        </w:rPr>
        <w:t xml:space="preserve"> de PI, otimização e limpeza de carteiras e possíveis alienações.</w:t>
      </w:r>
    </w:p>
    <w:p w14:paraId="4BF0AF18" w14:textId="0840304F" w:rsidR="4C528AD0" w:rsidRPr="00FF7074" w:rsidRDefault="00FE2526" w:rsidP="003453B8">
      <w:pPr>
        <w:pStyle w:val="Ttulo2"/>
      </w:pPr>
      <w:bookmarkStart w:id="58" w:name="_Toc138420952"/>
      <w:r>
        <w:t>Avaliação</w:t>
      </w:r>
      <w:r w:rsidR="5DF3F1B9" w:rsidRPr="00FF7074">
        <w:t xml:space="preserve"> </w:t>
      </w:r>
      <w:r w:rsidR="000F5EF3">
        <w:t xml:space="preserve">económica </w:t>
      </w:r>
      <w:r w:rsidR="5DF3F1B9" w:rsidRPr="00FF7074">
        <w:t>de ativos de PI</w:t>
      </w:r>
      <w:bookmarkEnd w:id="58"/>
    </w:p>
    <w:p w14:paraId="57262BFA" w14:textId="27E35D13" w:rsidR="4C528AD0" w:rsidRPr="00FF7074" w:rsidRDefault="5DF3F1B9" w:rsidP="2D5C803A">
      <w:pPr>
        <w:tabs>
          <w:tab w:val="left" w:pos="851"/>
        </w:tabs>
        <w:spacing w:after="160"/>
        <w:ind w:firstLine="0"/>
        <w:rPr>
          <w:rFonts w:eastAsia="Verdana" w:cs="Verdana"/>
          <w:color w:val="000000"/>
          <w:lang w:val="pt-PT"/>
        </w:rPr>
      </w:pPr>
      <w:r w:rsidRPr="00FF7074">
        <w:rPr>
          <w:rFonts w:eastAsia="Verdana" w:cs="Verdana"/>
          <w:color w:val="000000"/>
          <w:lang w:val="pt-PT"/>
        </w:rPr>
        <w:t xml:space="preserve">Os ativos de Propriedade Intelectual (PI) são bens intangíveis que constituem, do ponto de vista econômico, um dos elementos fundamentais das vantagens competitivas de uma perante a concorrência. Sob a </w:t>
      </w:r>
      <w:r w:rsidR="00FE2526" w:rsidRPr="00FF7074">
        <w:rPr>
          <w:rFonts w:eastAsia="Verdana" w:cs="Verdana"/>
          <w:color w:val="000000"/>
          <w:lang w:val="pt-PT"/>
        </w:rPr>
        <w:t>perspetiva</w:t>
      </w:r>
      <w:r w:rsidRPr="00FF7074">
        <w:rPr>
          <w:rFonts w:eastAsia="Verdana" w:cs="Verdana"/>
          <w:color w:val="000000"/>
          <w:lang w:val="pt-PT"/>
        </w:rPr>
        <w:t xml:space="preserve"> de Instituições de Ensino Superior (IES), o conhecimento por elas produzido e consubstanciado em um ativo de PI representa a possibilidade de atrair recursos para a manutenção e expansão das suas atividades mais elementares – ensino, pesquisa e extensão. A </w:t>
      </w:r>
      <w:r w:rsidRPr="00FF7074">
        <w:rPr>
          <w:rFonts w:eastAsia="Verdana" w:cs="Verdana"/>
          <w:b/>
          <w:bCs/>
          <w:color w:val="000000"/>
          <w:lang w:val="pt-PT"/>
        </w:rPr>
        <w:t>adequada mensuração</w:t>
      </w:r>
      <w:r w:rsidR="00FE2526">
        <w:rPr>
          <w:rFonts w:eastAsia="Verdana" w:cs="Verdana"/>
          <w:b/>
          <w:bCs/>
          <w:color w:val="000000"/>
          <w:lang w:val="pt-PT"/>
        </w:rPr>
        <w:t xml:space="preserve"> </w:t>
      </w:r>
      <w:r w:rsidRPr="00FF7074">
        <w:rPr>
          <w:rFonts w:eastAsia="Verdana" w:cs="Verdana"/>
          <w:b/>
          <w:bCs/>
          <w:color w:val="000000"/>
          <w:lang w:val="pt-PT"/>
        </w:rPr>
        <w:t>d</w:t>
      </w:r>
      <w:r w:rsidR="00FE2526">
        <w:rPr>
          <w:rFonts w:eastAsia="Verdana" w:cs="Verdana"/>
          <w:b/>
          <w:bCs/>
          <w:color w:val="000000"/>
          <w:lang w:val="pt-PT"/>
        </w:rPr>
        <w:t>o</w:t>
      </w:r>
      <w:r w:rsidRPr="00FF7074">
        <w:rPr>
          <w:rFonts w:eastAsia="Verdana" w:cs="Verdana"/>
          <w:b/>
          <w:bCs/>
          <w:color w:val="000000"/>
          <w:lang w:val="pt-PT"/>
        </w:rPr>
        <w:t xml:space="preserve"> seu valor financeiro </w:t>
      </w:r>
      <w:r w:rsidRPr="00FF7074">
        <w:rPr>
          <w:rFonts w:eastAsia="Verdana" w:cs="Verdana"/>
          <w:color w:val="000000"/>
          <w:lang w:val="pt-PT"/>
        </w:rPr>
        <w:t>permite ao titular do ativo contabilizá-lo, gerenciá-lo e negociá-lo com terceiros.</w:t>
      </w:r>
    </w:p>
    <w:p w14:paraId="706A294C" w14:textId="00FD1707" w:rsidR="4C528AD0" w:rsidRPr="00FF7074" w:rsidRDefault="5DF3F1B9" w:rsidP="2D5C803A">
      <w:pPr>
        <w:tabs>
          <w:tab w:val="left" w:pos="851"/>
        </w:tabs>
        <w:spacing w:after="160"/>
        <w:ind w:firstLine="0"/>
        <w:rPr>
          <w:rFonts w:eastAsia="Verdana" w:cs="Verdana"/>
          <w:color w:val="000000"/>
          <w:lang w:val="pt-PT"/>
        </w:rPr>
      </w:pPr>
      <w:r w:rsidRPr="00FF7074">
        <w:rPr>
          <w:rFonts w:eastAsia="Verdana" w:cs="Verdana"/>
          <w:color w:val="000000"/>
          <w:lang w:val="pt-PT"/>
        </w:rPr>
        <w:t xml:space="preserve">Neste capítulo, busca-se apresentar uma breve revisão das metodologias disponíveis para estimar o valor de ativos de PI, fazendo, ao final ponderações quanto a uma metodologia possivelmente aplicável à realidade dos </w:t>
      </w:r>
      <w:proofErr w:type="spellStart"/>
      <w:r w:rsidR="00FE2526">
        <w:rPr>
          <w:rFonts w:eastAsia="Verdana" w:cs="Verdana"/>
          <w:color w:val="000000"/>
          <w:lang w:val="pt-PT"/>
        </w:rPr>
        <w:t>TTOs</w:t>
      </w:r>
      <w:proofErr w:type="spellEnd"/>
      <w:r w:rsidRPr="00FF7074">
        <w:rPr>
          <w:rFonts w:eastAsia="Verdana" w:cs="Verdana"/>
          <w:color w:val="000000"/>
          <w:lang w:val="pt-PT"/>
        </w:rPr>
        <w:t xml:space="preserve"> d</w:t>
      </w:r>
      <w:r w:rsidR="00FE2526">
        <w:rPr>
          <w:rFonts w:eastAsia="Verdana" w:cs="Verdana"/>
          <w:color w:val="000000"/>
          <w:lang w:val="pt-PT"/>
        </w:rPr>
        <w:t xml:space="preserve">as diferentes </w:t>
      </w:r>
      <w:r w:rsidRPr="00FF7074">
        <w:rPr>
          <w:rFonts w:eastAsia="Verdana" w:cs="Verdana"/>
          <w:color w:val="000000"/>
          <w:lang w:val="pt-PT"/>
        </w:rPr>
        <w:t>IES.</w:t>
      </w:r>
    </w:p>
    <w:p w14:paraId="54FF3A3E" w14:textId="16BF380D" w:rsidR="4C528AD0" w:rsidRPr="00FE2526" w:rsidRDefault="5DF3F1B9" w:rsidP="2D5C803A">
      <w:pPr>
        <w:tabs>
          <w:tab w:val="left" w:pos="851"/>
        </w:tabs>
        <w:spacing w:after="160"/>
        <w:ind w:firstLine="0"/>
        <w:rPr>
          <w:rFonts w:eastAsia="Verdana" w:cs="Verdana"/>
          <w:color w:val="000000"/>
          <w:lang w:val="pt-PT"/>
        </w:rPr>
      </w:pPr>
      <w:r w:rsidRPr="00FF7074">
        <w:rPr>
          <w:rFonts w:eastAsia="Verdana" w:cs="Verdana"/>
          <w:color w:val="000000"/>
          <w:lang w:val="pt-PT"/>
        </w:rPr>
        <w:t xml:space="preserve">Para valorar um ativo de PI, é imprescindível defini-los e delimitá-los adequadamente. Por sua natureza intangível, ativos de PI não podem ser descritos pelas </w:t>
      </w:r>
      <w:r w:rsidRPr="00FE2526">
        <w:rPr>
          <w:rFonts w:eastAsia="Verdana" w:cs="Verdana"/>
          <w:color w:val="000000"/>
          <w:lang w:val="pt-PT"/>
        </w:rPr>
        <w:t xml:space="preserve">métricas e referências universalmente utilizadas para delimitar os atributos de bens tangíveis, ou seja, aqueles representados fisicamente no plano material. Assim, a </w:t>
      </w:r>
      <w:r w:rsidR="00FE2526" w:rsidRPr="00FE2526">
        <w:rPr>
          <w:rFonts w:eastAsia="Verdana" w:cs="Verdana"/>
          <w:color w:val="000000"/>
          <w:lang w:val="pt-PT"/>
        </w:rPr>
        <w:t>avaliação</w:t>
      </w:r>
      <w:r w:rsidRPr="00FE2526">
        <w:rPr>
          <w:rFonts w:eastAsia="Verdana" w:cs="Verdana"/>
          <w:color w:val="000000"/>
          <w:lang w:val="pt-PT"/>
        </w:rPr>
        <w:t xml:space="preserve"> de ativos de PI deve sempre atentar para as peculiaridades deste tipo de bem.</w:t>
      </w:r>
    </w:p>
    <w:p w14:paraId="7328EF0D" w14:textId="23B8E9A1" w:rsidR="4C528AD0" w:rsidRPr="00FE2526" w:rsidRDefault="5DF3F1B9" w:rsidP="2D5C803A">
      <w:pPr>
        <w:tabs>
          <w:tab w:val="left" w:pos="851"/>
        </w:tabs>
        <w:spacing w:after="160"/>
        <w:ind w:firstLine="0"/>
        <w:rPr>
          <w:rFonts w:eastAsia="Verdana" w:cs="Verdana"/>
          <w:color w:val="000000"/>
          <w:lang w:val="pt-PT"/>
        </w:rPr>
      </w:pPr>
      <w:r w:rsidRPr="00FE2526">
        <w:rPr>
          <w:rFonts w:eastAsia="Verdana" w:cs="Verdana"/>
          <w:color w:val="000000"/>
          <w:lang w:val="pt-PT"/>
        </w:rPr>
        <w:t xml:space="preserve">No entanto, ativos intangíveis, de qualquer espécie, devem ser passíveis de especificação de maneira razoavelmente direta e estar associados a um conjunto de direitos de propriedade, essencialmente, privada. Adicionalmente, para que ativos intangíveis retenham valor, sob a </w:t>
      </w:r>
      <w:r w:rsidR="00FE2526" w:rsidRPr="00FE2526">
        <w:rPr>
          <w:rFonts w:eastAsia="Verdana" w:cs="Verdana"/>
          <w:color w:val="000000"/>
          <w:lang w:val="pt-PT"/>
        </w:rPr>
        <w:t>perspetiva</w:t>
      </w:r>
      <w:r w:rsidRPr="00FE2526">
        <w:rPr>
          <w:rFonts w:eastAsia="Verdana" w:cs="Verdana"/>
          <w:color w:val="000000"/>
          <w:lang w:val="pt-PT"/>
        </w:rPr>
        <w:t xml:space="preserve"> econ</w:t>
      </w:r>
      <w:r w:rsidR="00FE2526" w:rsidRPr="00FE2526">
        <w:rPr>
          <w:rFonts w:eastAsia="Verdana" w:cs="Verdana"/>
          <w:color w:val="000000"/>
          <w:lang w:val="pt-PT"/>
        </w:rPr>
        <w:t>ó</w:t>
      </w:r>
      <w:r w:rsidRPr="00FE2526">
        <w:rPr>
          <w:rFonts w:eastAsia="Verdana" w:cs="Verdana"/>
          <w:color w:val="000000"/>
          <w:lang w:val="pt-PT"/>
        </w:rPr>
        <w:t xml:space="preserve">mica, alguns elementos devem estar presentes. Em essência, o ativo em questão deve gerar algum benefício econômico mensurável ao seu proprietário, seja na forma de um aumento de receitas ou de decréscimo dos custos (REILLY; SCHWEIHS, 1998, p. 9). Ainda segundo </w:t>
      </w:r>
      <w:proofErr w:type="spellStart"/>
      <w:r w:rsidRPr="00FE2526">
        <w:rPr>
          <w:rFonts w:eastAsia="Verdana" w:cs="Verdana"/>
          <w:color w:val="000000"/>
          <w:lang w:val="pt-PT"/>
        </w:rPr>
        <w:t>Reilly</w:t>
      </w:r>
      <w:proofErr w:type="spellEnd"/>
      <w:r w:rsidRPr="00FE2526">
        <w:rPr>
          <w:rFonts w:eastAsia="Verdana" w:cs="Verdana"/>
          <w:color w:val="000000"/>
          <w:lang w:val="pt-PT"/>
        </w:rPr>
        <w:t xml:space="preserve"> e </w:t>
      </w:r>
      <w:proofErr w:type="spellStart"/>
      <w:r w:rsidRPr="00FE2526">
        <w:rPr>
          <w:rFonts w:eastAsia="Verdana" w:cs="Verdana"/>
          <w:color w:val="000000"/>
          <w:lang w:val="pt-PT"/>
        </w:rPr>
        <w:t>Shweihs</w:t>
      </w:r>
      <w:proofErr w:type="spellEnd"/>
      <w:r w:rsidRPr="00FE2526">
        <w:rPr>
          <w:rFonts w:eastAsia="Verdana" w:cs="Verdana"/>
          <w:color w:val="000000"/>
          <w:lang w:val="pt-PT"/>
        </w:rPr>
        <w:t xml:space="preserve"> (1998, p. 5), a classificação de um ativo como intangível depende da ocorrência de uma série de atributos, quais sejam:</w:t>
      </w:r>
    </w:p>
    <w:p w14:paraId="20C73D1E" w14:textId="1FEEA6B8" w:rsidR="4C528AD0" w:rsidRPr="00FE2526" w:rsidRDefault="5DF3F1B9" w:rsidP="00ED0CA1">
      <w:pPr>
        <w:pStyle w:val="PargrafodaLista"/>
        <w:numPr>
          <w:ilvl w:val="0"/>
          <w:numId w:val="28"/>
        </w:numPr>
        <w:spacing w:after="160"/>
        <w:ind w:left="993"/>
        <w:rPr>
          <w:rFonts w:eastAsia="Verdana" w:cs="Verdana"/>
          <w:lang w:val="pt-PT"/>
        </w:rPr>
      </w:pPr>
      <w:r w:rsidRPr="00FE2526">
        <w:rPr>
          <w:rFonts w:eastAsia="Verdana" w:cs="Verdana"/>
          <w:lang w:val="pt-PT"/>
        </w:rPr>
        <w:t>Estar sujeito à identificação específica e descrição reconhecível;</w:t>
      </w:r>
    </w:p>
    <w:p w14:paraId="42E69B31" w14:textId="5DD25C5E" w:rsidR="4C528AD0" w:rsidRPr="00FE2526" w:rsidRDefault="5DF3F1B9" w:rsidP="00ED0CA1">
      <w:pPr>
        <w:pStyle w:val="PargrafodaLista"/>
        <w:numPr>
          <w:ilvl w:val="0"/>
          <w:numId w:val="28"/>
        </w:numPr>
        <w:spacing w:after="160"/>
        <w:ind w:left="993"/>
        <w:rPr>
          <w:rFonts w:eastAsia="Verdana" w:cs="Verdana"/>
          <w:lang w:val="pt-PT"/>
        </w:rPr>
      </w:pPr>
      <w:r w:rsidRPr="00FE2526">
        <w:rPr>
          <w:rFonts w:eastAsia="Verdana" w:cs="Verdana"/>
          <w:lang w:val="pt-PT"/>
        </w:rPr>
        <w:t>Estar sujeito à existência legal e ser passível de proteção;</w:t>
      </w:r>
    </w:p>
    <w:p w14:paraId="3A5499C0" w14:textId="134617EE" w:rsidR="4C528AD0" w:rsidRPr="00FE2526" w:rsidRDefault="5DF3F1B9" w:rsidP="00ED0CA1">
      <w:pPr>
        <w:pStyle w:val="PargrafodaLista"/>
        <w:numPr>
          <w:ilvl w:val="0"/>
          <w:numId w:val="28"/>
        </w:numPr>
        <w:spacing w:after="160"/>
        <w:ind w:left="993"/>
        <w:rPr>
          <w:rFonts w:eastAsia="Verdana" w:cs="Verdana"/>
          <w:lang w:val="pt-PT"/>
        </w:rPr>
      </w:pPr>
      <w:r w:rsidRPr="00FE2526">
        <w:rPr>
          <w:rFonts w:eastAsia="Verdana" w:cs="Verdana"/>
          <w:lang w:val="pt-PT"/>
        </w:rPr>
        <w:lastRenderedPageBreak/>
        <w:t>Estar sujeito ao direito de propriedade privada e, portanto, passível de transferência legal;</w:t>
      </w:r>
    </w:p>
    <w:p w14:paraId="31E538C6" w14:textId="4F7E336F" w:rsidR="4C528AD0" w:rsidRPr="00FF7074" w:rsidRDefault="5DF3F1B9" w:rsidP="00ED0CA1">
      <w:pPr>
        <w:pStyle w:val="PargrafodaLista"/>
        <w:numPr>
          <w:ilvl w:val="0"/>
          <w:numId w:val="28"/>
        </w:numPr>
        <w:spacing w:after="160"/>
        <w:ind w:left="993"/>
        <w:rPr>
          <w:rFonts w:eastAsia="Verdana" w:cs="Verdana"/>
          <w:lang w:val="pt-PT"/>
        </w:rPr>
      </w:pPr>
      <w:r w:rsidRPr="00FE2526">
        <w:rPr>
          <w:rFonts w:eastAsia="Verdana" w:cs="Verdana"/>
          <w:lang w:val="pt-PT"/>
        </w:rPr>
        <w:t>Ser representado</w:t>
      </w:r>
      <w:r w:rsidRPr="00FF7074">
        <w:rPr>
          <w:rFonts w:eastAsia="Verdana" w:cs="Verdana"/>
          <w:lang w:val="pt-PT"/>
        </w:rPr>
        <w:t xml:space="preserve"> por alguma evidência tangível, como, por exemplo, um contrato, uma licença, um documento de </w:t>
      </w:r>
      <w:r w:rsidR="00FE2526" w:rsidRPr="00FF7074">
        <w:rPr>
          <w:rFonts w:eastAsia="Verdana" w:cs="Verdana"/>
          <w:lang w:val="pt-PT"/>
        </w:rPr>
        <w:t>registo</w:t>
      </w:r>
      <w:r w:rsidRPr="00FF7074">
        <w:rPr>
          <w:rFonts w:eastAsia="Verdana" w:cs="Verdana"/>
          <w:lang w:val="pt-PT"/>
        </w:rPr>
        <w:t>, um conjunto de declarações financeiras, entre outros;</w:t>
      </w:r>
    </w:p>
    <w:p w14:paraId="3C4C62E4" w14:textId="2303FDAC" w:rsidR="4C528AD0" w:rsidRPr="00FF7074" w:rsidRDefault="5DF3F1B9" w:rsidP="00ED0CA1">
      <w:pPr>
        <w:pStyle w:val="PargrafodaLista"/>
        <w:numPr>
          <w:ilvl w:val="0"/>
          <w:numId w:val="28"/>
        </w:numPr>
        <w:spacing w:after="160"/>
        <w:ind w:left="993"/>
        <w:rPr>
          <w:rFonts w:eastAsia="Verdana" w:cs="Verdana"/>
          <w:lang w:val="pt-PT"/>
        </w:rPr>
      </w:pPr>
      <w:r w:rsidRPr="00FF7074">
        <w:rPr>
          <w:rFonts w:eastAsia="Verdana" w:cs="Verdana"/>
          <w:lang w:val="pt-PT"/>
        </w:rPr>
        <w:t>Resultar de um evento identificável, em um tempo específico;</w:t>
      </w:r>
    </w:p>
    <w:p w14:paraId="1EA41869" w14:textId="622C0814" w:rsidR="4C528AD0" w:rsidRPr="00FF7074" w:rsidRDefault="5DF3F1B9" w:rsidP="00ED0CA1">
      <w:pPr>
        <w:pStyle w:val="PargrafodaLista"/>
        <w:numPr>
          <w:ilvl w:val="0"/>
          <w:numId w:val="28"/>
        </w:numPr>
        <w:spacing w:after="160"/>
        <w:ind w:left="993"/>
        <w:rPr>
          <w:rFonts w:eastAsia="Verdana" w:cs="Verdana"/>
          <w:lang w:val="pt-PT"/>
        </w:rPr>
      </w:pPr>
      <w:r w:rsidRPr="00FF7074">
        <w:rPr>
          <w:rFonts w:eastAsia="Verdana" w:cs="Verdana"/>
          <w:lang w:val="pt-PT"/>
        </w:rPr>
        <w:t>Estar sujeito à destruição ou término em um determinado tempo ou como resultado de um evento identificável.</w:t>
      </w:r>
    </w:p>
    <w:p w14:paraId="6D6145BF" w14:textId="7228FE37" w:rsidR="4C528AD0" w:rsidRPr="00FF7074" w:rsidRDefault="4C528AD0" w:rsidP="2D5C803A">
      <w:pPr>
        <w:tabs>
          <w:tab w:val="left" w:pos="709"/>
        </w:tabs>
        <w:spacing w:after="160"/>
        <w:ind w:firstLine="0"/>
        <w:rPr>
          <w:rFonts w:eastAsia="Verdana" w:cs="Verdana"/>
          <w:color w:val="000000"/>
          <w:lang w:val="pt-PT"/>
        </w:rPr>
      </w:pPr>
    </w:p>
    <w:p w14:paraId="2CB95848" w14:textId="52878FF0" w:rsidR="4C528AD0" w:rsidRPr="00FF7074" w:rsidRDefault="5DF3F1B9" w:rsidP="2D5C803A">
      <w:pPr>
        <w:tabs>
          <w:tab w:val="left" w:pos="709"/>
        </w:tabs>
        <w:spacing w:after="160"/>
        <w:ind w:firstLine="0"/>
        <w:rPr>
          <w:rFonts w:eastAsia="Verdana" w:cs="Verdana"/>
          <w:color w:val="000000"/>
          <w:lang w:val="pt-PT"/>
        </w:rPr>
      </w:pPr>
      <w:r w:rsidRPr="00FF7074">
        <w:rPr>
          <w:rFonts w:eastAsia="Verdana" w:cs="Verdana"/>
          <w:color w:val="000000"/>
          <w:lang w:val="pt-PT"/>
        </w:rPr>
        <w:t xml:space="preserve">Tais características se concretizam, por exemplo, nas modalidades de proteção das criações intelectuais mais comuns, tais como marcas, patentes, desenhos industriais e direitos autorais. Além de </w:t>
      </w:r>
      <w:r w:rsidR="00FE2526" w:rsidRPr="00FF7074">
        <w:rPr>
          <w:rFonts w:eastAsia="Verdana" w:cs="Verdana"/>
          <w:color w:val="000000"/>
          <w:lang w:val="pt-PT"/>
        </w:rPr>
        <w:t>aspetos</w:t>
      </w:r>
      <w:r w:rsidRPr="00FF7074">
        <w:rPr>
          <w:rFonts w:eastAsia="Verdana" w:cs="Verdana"/>
          <w:color w:val="000000"/>
          <w:lang w:val="pt-PT"/>
        </w:rPr>
        <w:t xml:space="preserve"> de delimitação de escopo, outras características impactam o potencial de valor de um ativo intangível, particularmente aquelas que dirão respeito ao potencial do ativo de gerar receitas. Alguns dos fatores essenciais que afetam seu valor são:</w:t>
      </w:r>
    </w:p>
    <w:p w14:paraId="727D940F" w14:textId="2716F8C8" w:rsidR="4C528AD0" w:rsidRPr="00FF7074" w:rsidRDefault="5DF3F1B9" w:rsidP="00ED0CA1">
      <w:pPr>
        <w:pStyle w:val="PargrafodaLista"/>
        <w:numPr>
          <w:ilvl w:val="0"/>
          <w:numId w:val="27"/>
        </w:numPr>
        <w:spacing w:after="160"/>
        <w:ind w:left="993"/>
        <w:rPr>
          <w:rFonts w:eastAsia="Verdana" w:cs="Verdana"/>
          <w:lang w:val="pt-PT"/>
        </w:rPr>
      </w:pPr>
      <w:r w:rsidRPr="00FF7074">
        <w:rPr>
          <w:rFonts w:eastAsia="Verdana" w:cs="Verdana"/>
          <w:lang w:val="pt-PT"/>
        </w:rPr>
        <w:t>A natureza do ativo (marca, patente, etc.), receita realizada e potencial de geração de receita futura;</w:t>
      </w:r>
    </w:p>
    <w:p w14:paraId="4C04A8F8" w14:textId="03CE18CB" w:rsidR="4C528AD0" w:rsidRPr="00FF7074" w:rsidRDefault="5DF3F1B9" w:rsidP="00ED0CA1">
      <w:pPr>
        <w:pStyle w:val="PargrafodaLista"/>
        <w:numPr>
          <w:ilvl w:val="0"/>
          <w:numId w:val="27"/>
        </w:numPr>
        <w:spacing w:after="160"/>
        <w:ind w:left="993"/>
        <w:rPr>
          <w:rFonts w:eastAsia="Verdana" w:cs="Verdana"/>
          <w:lang w:val="pt-PT"/>
        </w:rPr>
      </w:pPr>
      <w:r w:rsidRPr="00FF7074">
        <w:rPr>
          <w:rFonts w:eastAsia="Verdana" w:cs="Verdana"/>
          <w:lang w:val="pt-PT"/>
        </w:rPr>
        <w:t>O nível atual de exploração do ativo e sua correspondência com os rendimentos obtidos (quando existente);</w:t>
      </w:r>
    </w:p>
    <w:p w14:paraId="5CF66731" w14:textId="059A7B78" w:rsidR="4C528AD0" w:rsidRPr="00FF7074" w:rsidRDefault="5DF3F1B9" w:rsidP="00ED0CA1">
      <w:pPr>
        <w:pStyle w:val="PargrafodaLista"/>
        <w:numPr>
          <w:ilvl w:val="0"/>
          <w:numId w:val="27"/>
        </w:numPr>
        <w:spacing w:after="160"/>
        <w:ind w:left="993"/>
        <w:rPr>
          <w:rFonts w:eastAsia="Verdana" w:cs="Verdana"/>
          <w:lang w:val="pt-PT"/>
        </w:rPr>
      </w:pPr>
      <w:r w:rsidRPr="00FF7074">
        <w:rPr>
          <w:rFonts w:eastAsia="Verdana" w:cs="Verdana"/>
          <w:lang w:val="pt-PT"/>
        </w:rPr>
        <w:t>Os custos e investimentos de capital necessários à exploração do ativo intangível;</w:t>
      </w:r>
    </w:p>
    <w:p w14:paraId="32C2240A" w14:textId="216A8799" w:rsidR="4C528AD0" w:rsidRPr="00FF7074" w:rsidRDefault="5DF3F1B9" w:rsidP="00ED0CA1">
      <w:pPr>
        <w:pStyle w:val="PargrafodaLista"/>
        <w:numPr>
          <w:ilvl w:val="0"/>
          <w:numId w:val="27"/>
        </w:numPr>
        <w:spacing w:after="160"/>
        <w:ind w:left="993"/>
        <w:rPr>
          <w:rFonts w:eastAsia="Verdana" w:cs="Verdana"/>
          <w:lang w:val="pt-PT"/>
        </w:rPr>
      </w:pPr>
      <w:r w:rsidRPr="00FF7074">
        <w:rPr>
          <w:rFonts w:eastAsia="Verdana" w:cs="Verdana"/>
          <w:lang w:val="pt-PT"/>
        </w:rPr>
        <w:t xml:space="preserve">A conjuntura </w:t>
      </w:r>
      <w:r w:rsidR="00FE2526">
        <w:rPr>
          <w:rFonts w:eastAsia="Verdana" w:cs="Verdana"/>
          <w:lang w:val="pt-PT"/>
        </w:rPr>
        <w:t>económica</w:t>
      </w:r>
      <w:r w:rsidRPr="00FF7074">
        <w:rPr>
          <w:rFonts w:eastAsia="Verdana" w:cs="Verdana"/>
          <w:lang w:val="pt-PT"/>
        </w:rPr>
        <w:t xml:space="preserve"> em geral e do mercado relevante em particular;</w:t>
      </w:r>
    </w:p>
    <w:p w14:paraId="3FA0332B" w14:textId="26FC46F0" w:rsidR="4C528AD0" w:rsidRPr="00FF7074" w:rsidRDefault="5DF3F1B9" w:rsidP="00ED0CA1">
      <w:pPr>
        <w:pStyle w:val="PargrafodaLista"/>
        <w:numPr>
          <w:ilvl w:val="0"/>
          <w:numId w:val="27"/>
        </w:numPr>
        <w:spacing w:after="160"/>
        <w:ind w:left="993"/>
        <w:rPr>
          <w:rFonts w:eastAsia="Verdana" w:cs="Verdana"/>
          <w:lang w:val="pt-PT"/>
        </w:rPr>
      </w:pPr>
      <w:r w:rsidRPr="00FF7074">
        <w:rPr>
          <w:rFonts w:eastAsia="Verdana" w:cs="Verdana"/>
          <w:lang w:val="pt-PT"/>
        </w:rPr>
        <w:t>O risco envolvido no investimento, relacionado com a estabilidade dos resultados, concorrência e potencial de mercado, implicitamente incluído na atualização dos rendimentos esperados.</w:t>
      </w:r>
    </w:p>
    <w:p w14:paraId="11EEEF2D" w14:textId="4AB2F7E7" w:rsidR="4C528AD0" w:rsidRPr="00FF7074" w:rsidRDefault="4C528AD0" w:rsidP="2D5C803A">
      <w:pPr>
        <w:tabs>
          <w:tab w:val="left" w:pos="709"/>
        </w:tabs>
        <w:spacing w:after="160"/>
        <w:ind w:firstLine="0"/>
        <w:rPr>
          <w:rFonts w:eastAsia="Verdana" w:cs="Verdana"/>
          <w:color w:val="000000"/>
          <w:lang w:val="pt-PT"/>
        </w:rPr>
      </w:pPr>
    </w:p>
    <w:p w14:paraId="3FD849E0" w14:textId="3A5C7A40" w:rsidR="4C528AD0" w:rsidRPr="003F53F6" w:rsidRDefault="5DF3F1B9" w:rsidP="2D5C803A">
      <w:pPr>
        <w:tabs>
          <w:tab w:val="left" w:pos="709"/>
        </w:tabs>
        <w:spacing w:after="160"/>
        <w:ind w:firstLine="0"/>
        <w:rPr>
          <w:rFonts w:eastAsia="Verdana" w:cs="Verdana"/>
          <w:color w:val="000000"/>
          <w:lang w:val="pt-PT"/>
        </w:rPr>
      </w:pPr>
      <w:r w:rsidRPr="00FF7074">
        <w:rPr>
          <w:rFonts w:eastAsia="Verdana" w:cs="Verdana"/>
          <w:color w:val="000000"/>
          <w:lang w:val="pt-PT"/>
        </w:rPr>
        <w:t xml:space="preserve">Grosso modo, métodos de </w:t>
      </w:r>
      <w:r w:rsidR="00FE2526">
        <w:rPr>
          <w:rFonts w:eastAsia="Verdana" w:cs="Verdana"/>
          <w:color w:val="000000"/>
          <w:lang w:val="pt-PT"/>
        </w:rPr>
        <w:t>avaliação</w:t>
      </w:r>
      <w:r w:rsidRPr="00FF7074">
        <w:rPr>
          <w:rFonts w:eastAsia="Verdana" w:cs="Verdana"/>
          <w:color w:val="000000"/>
          <w:lang w:val="pt-PT"/>
        </w:rPr>
        <w:t xml:space="preserve"> podem ser classificados em dois grandes grupos segundo o uso, ou não, de elementos do mercado alvo para apreciação de um ativo intangível. Metodologias que têm por base </w:t>
      </w:r>
      <w:r w:rsidR="00FE2526" w:rsidRPr="00FF7074">
        <w:rPr>
          <w:rFonts w:eastAsia="Verdana" w:cs="Verdana"/>
          <w:color w:val="000000"/>
          <w:lang w:val="pt-PT"/>
        </w:rPr>
        <w:t>aspetos</w:t>
      </w:r>
      <w:r w:rsidRPr="00FF7074">
        <w:rPr>
          <w:rFonts w:eastAsia="Verdana" w:cs="Verdana"/>
          <w:color w:val="000000"/>
          <w:lang w:val="pt-PT"/>
        </w:rPr>
        <w:t xml:space="preserve"> mercadológicos compreendem as abordagens de cálculo pelos custos (envolvidos com o </w:t>
      </w:r>
      <w:r w:rsidRPr="003F53F6">
        <w:rPr>
          <w:rFonts w:eastAsia="Verdana" w:cs="Verdana"/>
          <w:color w:val="000000"/>
          <w:lang w:val="pt-PT"/>
        </w:rPr>
        <w:t>desenvolvimento da tecnologia), pelo mercado (padrões da indústria) ou pel</w:t>
      </w:r>
      <w:r w:rsidR="00F84FFD" w:rsidRPr="003F53F6">
        <w:rPr>
          <w:rFonts w:eastAsia="Verdana" w:cs="Verdana"/>
          <w:color w:val="000000"/>
          <w:lang w:val="pt-PT"/>
        </w:rPr>
        <w:t>os</w:t>
      </w:r>
      <w:r w:rsidRPr="003F53F6">
        <w:rPr>
          <w:rFonts w:eastAsia="Verdana" w:cs="Verdana"/>
          <w:color w:val="000000"/>
          <w:lang w:val="pt-PT"/>
        </w:rPr>
        <w:t xml:space="preserve"> (</w:t>
      </w:r>
      <w:r w:rsidR="00FE2526" w:rsidRPr="003F53F6">
        <w:rPr>
          <w:rFonts w:eastAsia="Verdana" w:cs="Verdana"/>
          <w:color w:val="000000"/>
          <w:lang w:val="pt-PT"/>
        </w:rPr>
        <w:t>perspetiva</w:t>
      </w:r>
      <w:r w:rsidRPr="003F53F6">
        <w:rPr>
          <w:rFonts w:eastAsia="Verdana" w:cs="Verdana"/>
          <w:color w:val="000000"/>
          <w:lang w:val="pt-PT"/>
        </w:rPr>
        <w:t xml:space="preserve"> de) </w:t>
      </w:r>
      <w:r w:rsidR="00F84FFD" w:rsidRPr="003F53F6">
        <w:rPr>
          <w:rFonts w:eastAsia="Verdana" w:cs="Verdana"/>
          <w:color w:val="000000"/>
          <w:lang w:val="pt-PT"/>
        </w:rPr>
        <w:t>rendimentos</w:t>
      </w:r>
      <w:r w:rsidRPr="003F53F6">
        <w:rPr>
          <w:rFonts w:eastAsia="Verdana" w:cs="Verdana"/>
          <w:color w:val="000000"/>
          <w:lang w:val="pt-PT"/>
        </w:rPr>
        <w:t xml:space="preserve"> (NI </w:t>
      </w:r>
      <w:proofErr w:type="spellStart"/>
      <w:r w:rsidRPr="003F53F6">
        <w:rPr>
          <w:rFonts w:eastAsia="Verdana" w:cs="Verdana"/>
          <w:color w:val="000000"/>
          <w:lang w:val="pt-PT"/>
        </w:rPr>
        <w:t>et</w:t>
      </w:r>
      <w:proofErr w:type="spellEnd"/>
      <w:r w:rsidRPr="003F53F6">
        <w:rPr>
          <w:rFonts w:eastAsia="Verdana" w:cs="Verdana"/>
          <w:color w:val="000000"/>
          <w:lang w:val="pt-PT"/>
        </w:rPr>
        <w:t xml:space="preserve"> al., 2015; REILLY; SCHWEIHS, 1998; STEVENS, 2016, p. 34). As metodologias são, em geral, essencialmente quantitativas, sustentadas por uma combinação de técnicas de avaliação financeira (DISSEL </w:t>
      </w:r>
      <w:proofErr w:type="spellStart"/>
      <w:r w:rsidRPr="003F53F6">
        <w:rPr>
          <w:rFonts w:eastAsia="Verdana" w:cs="Verdana"/>
          <w:color w:val="000000"/>
          <w:lang w:val="pt-PT"/>
        </w:rPr>
        <w:t>et</w:t>
      </w:r>
      <w:proofErr w:type="spellEnd"/>
      <w:r w:rsidRPr="003F53F6">
        <w:rPr>
          <w:rFonts w:eastAsia="Verdana" w:cs="Verdana"/>
          <w:color w:val="000000"/>
          <w:lang w:val="pt-PT"/>
        </w:rPr>
        <w:t xml:space="preserve"> al., 2005).</w:t>
      </w:r>
    </w:p>
    <w:p w14:paraId="4837F777" w14:textId="16F92406" w:rsidR="4C528AD0" w:rsidRPr="003F53F6" w:rsidRDefault="5DF3F1B9" w:rsidP="2D5C803A">
      <w:pPr>
        <w:tabs>
          <w:tab w:val="left" w:pos="709"/>
        </w:tabs>
        <w:spacing w:after="160"/>
        <w:ind w:firstLine="0"/>
        <w:rPr>
          <w:rFonts w:eastAsia="Verdana" w:cs="Verdana"/>
          <w:color w:val="000000"/>
          <w:lang w:val="pt-PT"/>
        </w:rPr>
      </w:pPr>
      <w:r w:rsidRPr="003F53F6">
        <w:rPr>
          <w:rFonts w:eastAsia="Verdana" w:cs="Verdana"/>
          <w:color w:val="000000"/>
          <w:lang w:val="pt-PT"/>
        </w:rPr>
        <w:lastRenderedPageBreak/>
        <w:t xml:space="preserve">Abordagens de </w:t>
      </w:r>
      <w:r w:rsidR="00FE2526" w:rsidRPr="003F53F6">
        <w:rPr>
          <w:rFonts w:eastAsia="Verdana" w:cs="Verdana"/>
          <w:color w:val="000000"/>
          <w:lang w:val="pt-PT"/>
        </w:rPr>
        <w:t>avaliação</w:t>
      </w:r>
      <w:r w:rsidRPr="003F53F6">
        <w:rPr>
          <w:rFonts w:eastAsia="Verdana" w:cs="Verdana"/>
          <w:color w:val="000000"/>
          <w:lang w:val="pt-PT"/>
        </w:rPr>
        <w:t xml:space="preserve"> com base nos custos podem considerar duas </w:t>
      </w:r>
      <w:r w:rsidR="003F53F6" w:rsidRPr="003F53F6">
        <w:rPr>
          <w:rFonts w:eastAsia="Verdana" w:cs="Verdana"/>
          <w:color w:val="000000"/>
          <w:lang w:val="pt-PT"/>
        </w:rPr>
        <w:t>óticas</w:t>
      </w:r>
      <w:r w:rsidRPr="003F53F6">
        <w:rPr>
          <w:rFonts w:eastAsia="Verdana" w:cs="Verdana"/>
          <w:color w:val="000000"/>
          <w:lang w:val="pt-PT"/>
        </w:rPr>
        <w:t xml:space="preserve"> distintas. Por um lado, é possível associar o valor de uma tecnologia ao montante investido até o momento da negociação. Alternativamente, é possível associar o valor ao benefício futuro de deter a propriedade sobre o ativo. Sob essa </w:t>
      </w:r>
      <w:r w:rsidR="003F53F6" w:rsidRPr="003F53F6">
        <w:rPr>
          <w:rFonts w:eastAsia="Verdana" w:cs="Verdana"/>
          <w:color w:val="000000"/>
          <w:lang w:val="pt-PT"/>
        </w:rPr>
        <w:t>ótica</w:t>
      </w:r>
      <w:r w:rsidRPr="003F53F6">
        <w:rPr>
          <w:rFonts w:eastAsia="Verdana" w:cs="Verdana"/>
          <w:color w:val="000000"/>
          <w:lang w:val="pt-PT"/>
        </w:rPr>
        <w:t xml:space="preserve">, calcula-se o volume de recursos necessários para reproduzir o objeto em questão ou para desenvolver um produto substituto àquele que é alvo da análise. Contudo, a despeito da alternativa, a abordagem pelos custos falha em captar o desempenho comercial por vir, além de ser altamente subjetiva. (PITKETHLY, 1997; POTTER, 2007, p. 806). </w:t>
      </w:r>
    </w:p>
    <w:p w14:paraId="2B134E37" w14:textId="0F344806" w:rsidR="4C528AD0" w:rsidRPr="003F53F6" w:rsidRDefault="5DF3F1B9" w:rsidP="2D5C803A">
      <w:pPr>
        <w:tabs>
          <w:tab w:val="left" w:pos="709"/>
        </w:tabs>
        <w:spacing w:after="160"/>
        <w:ind w:firstLine="0"/>
        <w:rPr>
          <w:rFonts w:eastAsia="Verdana" w:cs="Verdana"/>
          <w:color w:val="000000"/>
          <w:lang w:val="pt-PT"/>
        </w:rPr>
      </w:pPr>
      <w:r w:rsidRPr="003F53F6">
        <w:rPr>
          <w:rFonts w:eastAsia="Verdana" w:cs="Verdana"/>
          <w:color w:val="000000"/>
          <w:lang w:val="pt-PT"/>
        </w:rPr>
        <w:t xml:space="preserve">Em outra frente, abordagens pelo mercado têm por objetivo estimar o valor de ativos através da comparação direta com os preços de objetos semelhantes já comercializados no mercado. Corresponde a uma metodologia direta, que utiliza padrões da indústria ou segmento alvo para determinar o preço de um ativo intangível. Contudo, a aplicação tende a ser limitada a casos em que mercados já estabelecidos contam com um produto similar disponível para servir como referência. Por exemplo, o método de </w:t>
      </w:r>
      <w:r w:rsidRPr="003F53F6">
        <w:rPr>
          <w:rFonts w:eastAsia="Verdana" w:cs="Verdana"/>
          <w:i/>
          <w:iCs/>
          <w:color w:val="000000"/>
          <w:lang w:val="pt-PT"/>
        </w:rPr>
        <w:t>benchmarking</w:t>
      </w:r>
      <w:r w:rsidRPr="003F53F6">
        <w:rPr>
          <w:rFonts w:eastAsia="Verdana" w:cs="Verdana"/>
          <w:color w:val="000000"/>
          <w:lang w:val="pt-PT"/>
        </w:rPr>
        <w:t xml:space="preserve"> dificilmente será apropriado à </w:t>
      </w:r>
      <w:r w:rsidR="00FE2526" w:rsidRPr="003F53F6">
        <w:rPr>
          <w:rFonts w:eastAsia="Verdana" w:cs="Verdana"/>
          <w:color w:val="000000"/>
          <w:lang w:val="pt-PT"/>
        </w:rPr>
        <w:t>avaliação</w:t>
      </w:r>
      <w:r w:rsidRPr="003F53F6">
        <w:rPr>
          <w:rFonts w:eastAsia="Verdana" w:cs="Verdana"/>
          <w:color w:val="000000"/>
          <w:lang w:val="pt-PT"/>
        </w:rPr>
        <w:t xml:space="preserve"> de tecnologias com potencial disruptivo (RAZGAITIS, 2007, p. 820–821; NI </w:t>
      </w:r>
      <w:proofErr w:type="spellStart"/>
      <w:r w:rsidRPr="003F53F6">
        <w:rPr>
          <w:rFonts w:eastAsia="Verdana" w:cs="Verdana"/>
          <w:color w:val="000000"/>
          <w:lang w:val="pt-PT"/>
        </w:rPr>
        <w:t>et</w:t>
      </w:r>
      <w:proofErr w:type="spellEnd"/>
      <w:r w:rsidRPr="003F53F6">
        <w:rPr>
          <w:rFonts w:eastAsia="Verdana" w:cs="Verdana"/>
          <w:color w:val="000000"/>
          <w:lang w:val="pt-PT"/>
        </w:rPr>
        <w:t xml:space="preserve"> al., 2015). No entanto, é possível incluir padrões de mercado em abordagens pela receita, formando metodologias híbridas que possibilitam resultados mais acurados (POTTER, 2007, p. 807).</w:t>
      </w:r>
    </w:p>
    <w:p w14:paraId="4C952F16" w14:textId="4D9C185A" w:rsidR="4C528AD0" w:rsidRPr="003F53F6" w:rsidRDefault="5DF3F1B9" w:rsidP="2D5C803A">
      <w:pPr>
        <w:tabs>
          <w:tab w:val="left" w:pos="709"/>
        </w:tabs>
        <w:spacing w:after="160"/>
        <w:ind w:firstLine="0"/>
        <w:rPr>
          <w:rFonts w:eastAsia="Verdana" w:cs="Verdana"/>
          <w:color w:val="000000"/>
          <w:lang w:val="pt-PT"/>
        </w:rPr>
      </w:pPr>
      <w:r w:rsidRPr="003F53F6">
        <w:rPr>
          <w:rFonts w:eastAsia="Verdana" w:cs="Verdana"/>
          <w:color w:val="000000"/>
          <w:lang w:val="pt-PT"/>
        </w:rPr>
        <w:t xml:space="preserve">Metodologias que permitem a projeção de receitas futuras são, talvez, as principais estratégias para estimar o valor de uma tecnologia em desenvolvimento. O método de Fluxo de Caixa Descontado (FCD) é o padrão usualmente empregado para determinar o valor atual de uma tecnologia ainda imatura com base no potencial desta de gerar receitas no futuro. Essa metodologia é regida por duas premissas centrais: primeiro, a de que uma unidade de dinheiro tem mais valor no presente do que no futuro, pois, o detentor desta tem liberdade para investir o recurso para obter rendimentos ao longo do tempo. Segundo, para a interpretação do resultado da análise, pressupõe que se o valor presente das receitas futuras superarem o investimento necessário para desenvolver a tecnologia, então o projeto é viável (RAPPAPORT, 1981; VILLIGER; BOGDAN, 2006). </w:t>
      </w:r>
    </w:p>
    <w:p w14:paraId="043AB6C0" w14:textId="6633EE71" w:rsidR="4C528AD0" w:rsidRPr="003F53F6" w:rsidRDefault="5DF3F1B9" w:rsidP="2D5C803A">
      <w:pPr>
        <w:tabs>
          <w:tab w:val="left" w:pos="709"/>
        </w:tabs>
        <w:spacing w:after="160"/>
        <w:ind w:firstLine="0"/>
        <w:rPr>
          <w:rFonts w:eastAsia="Verdana" w:cs="Verdana"/>
          <w:color w:val="000000"/>
          <w:lang w:val="pt-PT"/>
        </w:rPr>
      </w:pPr>
      <w:r w:rsidRPr="003F53F6">
        <w:rPr>
          <w:rFonts w:eastAsia="Verdana" w:cs="Verdana"/>
          <w:color w:val="000000"/>
          <w:lang w:val="pt-PT"/>
        </w:rPr>
        <w:t xml:space="preserve">Metodologias de FCD comparam os potenciais retornos futuros de um determinado investimento e estimam o valor presente do ativo considerando uma taxa de remuneração requerida pelo investidor ao abrir mão do recurso no presente em favor de um ganho futuro. Além da influência do tempo sobre o valor do ativo, modelos de FCD podem incorporar </w:t>
      </w:r>
      <w:r w:rsidR="003F53F6" w:rsidRPr="003F53F6">
        <w:rPr>
          <w:rFonts w:eastAsia="Verdana" w:cs="Verdana"/>
          <w:color w:val="000000"/>
          <w:lang w:val="pt-PT"/>
        </w:rPr>
        <w:t>aspetos</w:t>
      </w:r>
      <w:r w:rsidRPr="003F53F6">
        <w:rPr>
          <w:rFonts w:eastAsia="Verdana" w:cs="Verdana"/>
          <w:color w:val="000000"/>
          <w:lang w:val="pt-PT"/>
        </w:rPr>
        <w:t xml:space="preserve"> de incertezas, resultando no “Valor Presente ajustado pelo risco” ou “Valor Presente esperado”. Refinamentos adicionais, como a associação do FCD com análises por árvore de decisão, podem estimar também o impacto de diferentes cenários ao longo do projeto sobre </w:t>
      </w:r>
      <w:r w:rsidRPr="003F53F6">
        <w:rPr>
          <w:rFonts w:eastAsia="Verdana" w:cs="Verdana"/>
          <w:color w:val="000000"/>
          <w:lang w:val="pt-PT"/>
        </w:rPr>
        <w:lastRenderedPageBreak/>
        <w:t xml:space="preserve">o valor presente esperado (VILLIGER; BOGDAN, 2006; POTTER, 2007, p. 806; NI </w:t>
      </w:r>
      <w:proofErr w:type="spellStart"/>
      <w:r w:rsidRPr="003F53F6">
        <w:rPr>
          <w:rFonts w:eastAsia="Verdana" w:cs="Verdana"/>
          <w:color w:val="000000"/>
          <w:lang w:val="pt-PT"/>
        </w:rPr>
        <w:t>et</w:t>
      </w:r>
      <w:proofErr w:type="spellEnd"/>
      <w:r w:rsidRPr="003F53F6">
        <w:rPr>
          <w:rFonts w:eastAsia="Verdana" w:cs="Verdana"/>
          <w:color w:val="000000"/>
          <w:lang w:val="pt-PT"/>
        </w:rPr>
        <w:t xml:space="preserve"> al., 2015).</w:t>
      </w:r>
    </w:p>
    <w:p w14:paraId="495F90A7" w14:textId="4806A2D3" w:rsidR="4C528AD0" w:rsidRPr="003F53F6" w:rsidRDefault="5DF3F1B9" w:rsidP="2D5C803A">
      <w:pPr>
        <w:tabs>
          <w:tab w:val="left" w:pos="709"/>
        </w:tabs>
        <w:spacing w:after="160"/>
        <w:ind w:firstLine="0"/>
        <w:rPr>
          <w:rFonts w:eastAsia="Verdana" w:cs="Verdana"/>
          <w:color w:val="000000"/>
          <w:lang w:val="pt-PT"/>
        </w:rPr>
      </w:pPr>
      <w:r w:rsidRPr="003F53F6">
        <w:rPr>
          <w:rFonts w:eastAsia="Verdana" w:cs="Verdana"/>
          <w:color w:val="000000"/>
          <w:lang w:val="pt-PT"/>
        </w:rPr>
        <w:t xml:space="preserve">Entretanto, o método de FCD tem limitações que podem adquirir maior importância dependendo do propósito da análise. Por exemplo, quando aplicado à </w:t>
      </w:r>
      <w:r w:rsidR="00FE2526" w:rsidRPr="003F53F6">
        <w:rPr>
          <w:rFonts w:eastAsia="Verdana" w:cs="Verdana"/>
          <w:color w:val="000000"/>
          <w:lang w:val="pt-PT"/>
        </w:rPr>
        <w:t>avaliação</w:t>
      </w:r>
      <w:r w:rsidRPr="003F53F6">
        <w:rPr>
          <w:rFonts w:eastAsia="Verdana" w:cs="Verdana"/>
          <w:color w:val="000000"/>
          <w:lang w:val="pt-PT"/>
        </w:rPr>
        <w:t xml:space="preserve"> de tecnologias em estágios de maturidade ainda incipientes, o método de FCD retorna, com boa frequência, valores presentes negativos, ainda que o potencial de receitas seja extremamente significativo (BOGDAN; VILLIGER, 2007, p. 7). Isto ocorre porque a imaturidade da tecnologia implica em (1) risco elevado e (2) longo período até chegar ao mercado, </w:t>
      </w:r>
      <w:r w:rsidR="003F53F6" w:rsidRPr="003F53F6">
        <w:rPr>
          <w:rFonts w:eastAsia="Verdana" w:cs="Verdana"/>
          <w:color w:val="000000"/>
          <w:lang w:val="pt-PT"/>
        </w:rPr>
        <w:t>aspetos</w:t>
      </w:r>
      <w:r w:rsidRPr="003F53F6">
        <w:rPr>
          <w:rFonts w:eastAsia="Verdana" w:cs="Verdana"/>
          <w:color w:val="000000"/>
          <w:lang w:val="pt-PT"/>
        </w:rPr>
        <w:t xml:space="preserve"> que impactam o valor presente de um fluxo de recebimentos futuro.</w:t>
      </w:r>
    </w:p>
    <w:p w14:paraId="7A1BCD21" w14:textId="75700B37" w:rsidR="4C528AD0" w:rsidRPr="003F53F6" w:rsidRDefault="5DF3F1B9" w:rsidP="2D5C803A">
      <w:pPr>
        <w:tabs>
          <w:tab w:val="left" w:pos="709"/>
        </w:tabs>
        <w:spacing w:after="160"/>
        <w:ind w:firstLine="0"/>
        <w:rPr>
          <w:rFonts w:eastAsia="Verdana" w:cs="Verdana"/>
          <w:color w:val="000000"/>
          <w:lang w:val="pt-PT"/>
        </w:rPr>
      </w:pPr>
      <w:r w:rsidRPr="003F53F6">
        <w:rPr>
          <w:rFonts w:eastAsia="Verdana" w:cs="Verdana"/>
          <w:color w:val="000000"/>
          <w:lang w:val="pt-PT"/>
        </w:rPr>
        <w:t xml:space="preserve">Ademais, as premissas utilizadas em modelos de FCD são números fixos, que, portanto, captam de maneira limitada a forma que o valor do projeto varia com a atenuação do risco à medida que o desenvolvimento da tecnologia avança. Em contrapartida, o amadurecimento do projeto revela características do ativo que podem impactar seu valor de mercado. Desta forma, um novo processo de </w:t>
      </w:r>
      <w:r w:rsidR="00FE2526" w:rsidRPr="003F53F6">
        <w:rPr>
          <w:rFonts w:eastAsia="Verdana" w:cs="Verdana"/>
          <w:color w:val="000000"/>
          <w:lang w:val="pt-PT"/>
        </w:rPr>
        <w:t>avaliação</w:t>
      </w:r>
      <w:r w:rsidRPr="003F53F6">
        <w:rPr>
          <w:rFonts w:eastAsia="Verdana" w:cs="Verdana"/>
          <w:color w:val="000000"/>
          <w:lang w:val="pt-PT"/>
        </w:rPr>
        <w:t xml:space="preserve"> teria de ser realizado na transição entre as fases do desenvolvimento (SHOCKLEY </w:t>
      </w:r>
      <w:proofErr w:type="spellStart"/>
      <w:r w:rsidRPr="003F53F6">
        <w:rPr>
          <w:rFonts w:eastAsia="Verdana" w:cs="Verdana"/>
          <w:color w:val="000000"/>
          <w:lang w:val="pt-PT"/>
        </w:rPr>
        <w:t>et</w:t>
      </w:r>
      <w:proofErr w:type="spellEnd"/>
      <w:r w:rsidRPr="003F53F6">
        <w:rPr>
          <w:rFonts w:eastAsia="Verdana" w:cs="Verdana"/>
          <w:color w:val="000000"/>
          <w:lang w:val="pt-PT"/>
        </w:rPr>
        <w:t xml:space="preserve"> al., 2002; VILLIGER; BOGDAN, 2005).</w:t>
      </w:r>
    </w:p>
    <w:p w14:paraId="2C8F1293" w14:textId="3A145176" w:rsidR="4C528AD0" w:rsidRPr="003F53F6" w:rsidRDefault="5DF3F1B9" w:rsidP="2D5C803A">
      <w:pPr>
        <w:tabs>
          <w:tab w:val="left" w:pos="709"/>
        </w:tabs>
        <w:spacing w:after="160"/>
        <w:ind w:firstLine="0"/>
        <w:rPr>
          <w:rFonts w:eastAsia="Verdana" w:cs="Verdana"/>
          <w:color w:val="000000"/>
          <w:lang w:val="pt-PT"/>
        </w:rPr>
      </w:pPr>
      <w:r w:rsidRPr="003F53F6">
        <w:rPr>
          <w:rFonts w:eastAsia="Verdana" w:cs="Verdana"/>
          <w:color w:val="000000"/>
          <w:lang w:val="pt-PT"/>
        </w:rPr>
        <w:t xml:space="preserve">Uma alternativa metodológica mais refinada, capaz de suprir as deficiências dos modelos de FCD, é concretizada pelos métodos de </w:t>
      </w:r>
      <w:r w:rsidR="00FE2526" w:rsidRPr="003F53F6">
        <w:rPr>
          <w:rFonts w:eastAsia="Verdana" w:cs="Verdana"/>
          <w:color w:val="000000"/>
          <w:lang w:val="pt-PT"/>
        </w:rPr>
        <w:t>avaliação</w:t>
      </w:r>
      <w:r w:rsidRPr="003F53F6">
        <w:rPr>
          <w:rFonts w:eastAsia="Verdana" w:cs="Verdana"/>
          <w:color w:val="000000"/>
          <w:lang w:val="pt-PT"/>
        </w:rPr>
        <w:t xml:space="preserve"> baseados em Opções Reais (OR). São métodos que permitem estimar o valor da tecnologia no ponto em que esta alcança o mercado e então ponderar pelas probabilidades de sucesso ao longo do percurso de desenvolvimento. A técnica de OR surgiu a partir do conceito utilizado em investimentos financeiros, em que uma opção corresponde ao direito de comprar ou vender um ativo por um preço fixo até uma determinada data (POTTER, 2007, p. 809). </w:t>
      </w:r>
    </w:p>
    <w:p w14:paraId="0113EE68" w14:textId="0B349F96" w:rsidR="4C528AD0" w:rsidRPr="003F53F6" w:rsidRDefault="5DF3F1B9" w:rsidP="2D5C803A">
      <w:pPr>
        <w:tabs>
          <w:tab w:val="left" w:pos="709"/>
        </w:tabs>
        <w:spacing w:after="160"/>
        <w:ind w:firstLine="0"/>
        <w:rPr>
          <w:rFonts w:eastAsia="Verdana" w:cs="Verdana"/>
          <w:color w:val="000000"/>
          <w:lang w:val="pt-PT"/>
        </w:rPr>
      </w:pPr>
      <w:r w:rsidRPr="003F53F6">
        <w:rPr>
          <w:rFonts w:eastAsia="Verdana" w:cs="Verdana"/>
          <w:color w:val="000000"/>
          <w:lang w:val="pt-PT"/>
        </w:rPr>
        <w:t xml:space="preserve">A elegância de protocolos de OR está em incorporar a dimensão do abandono rápido de um projeto de P&amp;D, tão logo seja diagnosticado algum </w:t>
      </w:r>
      <w:r w:rsidR="003F53F6" w:rsidRPr="003F53F6">
        <w:rPr>
          <w:rFonts w:eastAsia="Verdana" w:cs="Verdana"/>
          <w:color w:val="000000"/>
          <w:lang w:val="pt-PT"/>
        </w:rPr>
        <w:t>aspeto</w:t>
      </w:r>
      <w:r w:rsidRPr="003F53F6">
        <w:rPr>
          <w:rFonts w:eastAsia="Verdana" w:cs="Verdana"/>
          <w:color w:val="000000"/>
          <w:lang w:val="pt-PT"/>
        </w:rPr>
        <w:t xml:space="preserve"> de inviabilidade. Esta flexibilidade de reagir rapidamente à dinâmica de desenvolvimento adiciona valor ao evitar perdas, porém, não é percebida por outros métodos de </w:t>
      </w:r>
      <w:r w:rsidR="00FE2526" w:rsidRPr="003F53F6">
        <w:rPr>
          <w:rFonts w:eastAsia="Verdana" w:cs="Verdana"/>
          <w:color w:val="000000"/>
          <w:lang w:val="pt-PT"/>
        </w:rPr>
        <w:t>avaliação</w:t>
      </w:r>
      <w:r w:rsidRPr="003F53F6">
        <w:rPr>
          <w:rFonts w:eastAsia="Verdana" w:cs="Verdana"/>
          <w:color w:val="000000"/>
          <w:lang w:val="pt-PT"/>
        </w:rPr>
        <w:t xml:space="preserve">. Contudo, é uma metodologia de extrema complexidade, dificilmente aplicável à </w:t>
      </w:r>
      <w:r w:rsidR="00FE2526" w:rsidRPr="003F53F6">
        <w:rPr>
          <w:rFonts w:eastAsia="Verdana" w:cs="Verdana"/>
          <w:color w:val="000000"/>
          <w:lang w:val="pt-PT"/>
        </w:rPr>
        <w:t>avaliação</w:t>
      </w:r>
      <w:r w:rsidRPr="003F53F6">
        <w:rPr>
          <w:rFonts w:eastAsia="Verdana" w:cs="Verdana"/>
          <w:color w:val="000000"/>
          <w:lang w:val="pt-PT"/>
        </w:rPr>
        <w:t xml:space="preserve"> de ativos intelectuais de instituições acadêmicas, em larga escala e com velocidade adequada (PERLITZ; PESKE; SCHRANK, 1999; KELLOGG; CHARNES, 2000; SHOCKLEY </w:t>
      </w:r>
      <w:proofErr w:type="spellStart"/>
      <w:r w:rsidRPr="003F53F6">
        <w:rPr>
          <w:rFonts w:eastAsia="Verdana" w:cs="Verdana"/>
          <w:color w:val="000000"/>
          <w:lang w:val="pt-PT"/>
        </w:rPr>
        <w:t>et</w:t>
      </w:r>
      <w:proofErr w:type="spellEnd"/>
      <w:r w:rsidRPr="003F53F6">
        <w:rPr>
          <w:rFonts w:eastAsia="Verdana" w:cs="Verdana"/>
          <w:color w:val="000000"/>
          <w:lang w:val="pt-PT"/>
        </w:rPr>
        <w:t xml:space="preserve"> al., 2002; SCHWARTZ, 2004; HARTMANN; HASSAN, 2006; VILLIGER; BOGDAN, 2006; RODRIGUES </w:t>
      </w:r>
      <w:proofErr w:type="spellStart"/>
      <w:r w:rsidRPr="003F53F6">
        <w:rPr>
          <w:rFonts w:eastAsia="Verdana" w:cs="Verdana"/>
          <w:color w:val="000000"/>
          <w:lang w:val="pt-PT"/>
        </w:rPr>
        <w:t>et</w:t>
      </w:r>
      <w:proofErr w:type="spellEnd"/>
      <w:r w:rsidRPr="003F53F6">
        <w:rPr>
          <w:rFonts w:eastAsia="Verdana" w:cs="Verdana"/>
          <w:color w:val="000000"/>
          <w:lang w:val="pt-PT"/>
        </w:rPr>
        <w:t xml:space="preserve"> al., 2013). </w:t>
      </w:r>
    </w:p>
    <w:p w14:paraId="0D6DF281" w14:textId="24B3EAE5" w:rsidR="4C528AD0" w:rsidRPr="003F53F6" w:rsidRDefault="5DF3F1B9" w:rsidP="2D5C803A">
      <w:pPr>
        <w:tabs>
          <w:tab w:val="left" w:pos="709"/>
        </w:tabs>
        <w:spacing w:after="160"/>
        <w:ind w:firstLine="0"/>
        <w:rPr>
          <w:rFonts w:eastAsia="Verdana" w:cs="Verdana"/>
          <w:color w:val="000000"/>
          <w:lang w:val="pt-PT"/>
        </w:rPr>
      </w:pPr>
      <w:r w:rsidRPr="003F53F6">
        <w:rPr>
          <w:rFonts w:eastAsia="Verdana" w:cs="Verdana"/>
          <w:color w:val="000000"/>
          <w:lang w:val="pt-PT"/>
        </w:rPr>
        <w:t xml:space="preserve">Dentre as diversas opções de métodos de </w:t>
      </w:r>
      <w:r w:rsidR="00FE2526" w:rsidRPr="003F53F6">
        <w:rPr>
          <w:rFonts w:eastAsia="Verdana" w:cs="Verdana"/>
          <w:color w:val="000000"/>
          <w:lang w:val="pt-PT"/>
        </w:rPr>
        <w:t>avaliação</w:t>
      </w:r>
      <w:r w:rsidRPr="003F53F6">
        <w:rPr>
          <w:rFonts w:eastAsia="Verdana" w:cs="Verdana"/>
          <w:color w:val="000000"/>
          <w:lang w:val="pt-PT"/>
        </w:rPr>
        <w:t xml:space="preserve">, o protocolo de estimação de valor por análise de </w:t>
      </w:r>
      <w:r w:rsidRPr="003F53F6">
        <w:rPr>
          <w:rFonts w:eastAsia="Verdana" w:cs="Verdana"/>
          <w:i/>
          <w:iCs/>
          <w:color w:val="000000"/>
          <w:lang w:val="pt-PT"/>
        </w:rPr>
        <w:t>Royalty Relief</w:t>
      </w:r>
      <w:r w:rsidRPr="003F53F6">
        <w:rPr>
          <w:rFonts w:eastAsia="Verdana" w:cs="Verdana"/>
          <w:color w:val="000000"/>
          <w:lang w:val="pt-PT"/>
        </w:rPr>
        <w:t xml:space="preserve"> ou, em tradução livre, “economia de royalties”, figura como uma alternativa de simples aplicação, tecnicamente robusta e </w:t>
      </w:r>
      <w:r w:rsidR="003F53F6" w:rsidRPr="003F53F6">
        <w:rPr>
          <w:rFonts w:eastAsia="Verdana" w:cs="Verdana"/>
          <w:color w:val="000000"/>
          <w:lang w:val="pt-PT"/>
        </w:rPr>
        <w:t>contabilisticamente</w:t>
      </w:r>
      <w:r w:rsidRPr="003F53F6">
        <w:rPr>
          <w:rFonts w:eastAsia="Verdana" w:cs="Verdana"/>
          <w:color w:val="000000"/>
          <w:lang w:val="pt-PT"/>
        </w:rPr>
        <w:t xml:space="preserve"> aceita. A premissa central desta técnica é que o valor do ativo valorado equivale ao somatório do valor presente dos fluxos de pagamento de </w:t>
      </w:r>
      <w:r w:rsidRPr="003F53F6">
        <w:rPr>
          <w:rFonts w:eastAsia="Verdana" w:cs="Verdana"/>
          <w:i/>
          <w:iCs/>
          <w:color w:val="000000"/>
          <w:lang w:val="pt-PT"/>
        </w:rPr>
        <w:t>royalties</w:t>
      </w:r>
      <w:r w:rsidRPr="003F53F6">
        <w:rPr>
          <w:rFonts w:eastAsia="Verdana" w:cs="Verdana"/>
          <w:color w:val="000000"/>
          <w:lang w:val="pt-PT"/>
        </w:rPr>
        <w:t xml:space="preserve"> que o detentor do ativo teria </w:t>
      </w:r>
      <w:proofErr w:type="gramStart"/>
      <w:r w:rsidRPr="003F53F6">
        <w:rPr>
          <w:rFonts w:eastAsia="Verdana" w:cs="Verdana"/>
          <w:color w:val="000000"/>
          <w:lang w:val="pt-PT"/>
        </w:rPr>
        <w:t>que</w:t>
      </w:r>
      <w:proofErr w:type="gramEnd"/>
      <w:r w:rsidRPr="003F53F6">
        <w:rPr>
          <w:rFonts w:eastAsia="Verdana" w:cs="Verdana"/>
          <w:color w:val="000000"/>
          <w:lang w:val="pt-PT"/>
        </w:rPr>
        <w:t xml:space="preserve"> </w:t>
      </w:r>
      <w:r w:rsidRPr="003F53F6">
        <w:rPr>
          <w:rFonts w:eastAsia="Verdana" w:cs="Verdana"/>
          <w:color w:val="000000"/>
          <w:lang w:val="pt-PT"/>
        </w:rPr>
        <w:lastRenderedPageBreak/>
        <w:t>realizar caso não fosse o proprietário da tecnologia. Por isso, o nome “economia de royalties” (REILLY, 2022).</w:t>
      </w:r>
    </w:p>
    <w:p w14:paraId="049DFD53" w14:textId="13FBED40" w:rsidR="4C528AD0" w:rsidRPr="003F53F6" w:rsidRDefault="5DF3F1B9" w:rsidP="2D5C803A">
      <w:pPr>
        <w:tabs>
          <w:tab w:val="left" w:pos="709"/>
        </w:tabs>
        <w:spacing w:after="160"/>
        <w:ind w:firstLine="0"/>
        <w:rPr>
          <w:rFonts w:eastAsia="Verdana" w:cs="Verdana"/>
          <w:color w:val="000000"/>
          <w:lang w:val="pt-PT"/>
        </w:rPr>
      </w:pPr>
      <w:r w:rsidRPr="003F53F6">
        <w:rPr>
          <w:rFonts w:eastAsia="Verdana" w:cs="Verdana"/>
          <w:color w:val="000000"/>
          <w:lang w:val="pt-PT"/>
        </w:rPr>
        <w:t>A vantagem desta metodologia é estar baseada na prática comercial e na realidade empresarial. Esta considera a estimativa de vendas futuras prováveis, associadas ao ativo em análise, às quais aplica uma taxa de royalty apropriada a ser paga para determinar o valor anual de royalties em um período estimado, que depois de capitalizado traduzem o valor econômico atual do ativo de PI (REILLY, 2022).</w:t>
      </w:r>
    </w:p>
    <w:p w14:paraId="352E5E7F" w14:textId="6386ED29" w:rsidR="4C528AD0" w:rsidRPr="003F53F6" w:rsidRDefault="5DF3F1B9" w:rsidP="2D5C803A">
      <w:pPr>
        <w:tabs>
          <w:tab w:val="left" w:pos="709"/>
        </w:tabs>
        <w:spacing w:after="160"/>
        <w:ind w:firstLine="0"/>
        <w:rPr>
          <w:rFonts w:eastAsia="Verdana" w:cs="Verdana"/>
          <w:color w:val="000000"/>
          <w:lang w:val="pt-PT"/>
        </w:rPr>
      </w:pPr>
      <w:r w:rsidRPr="003F53F6">
        <w:rPr>
          <w:rFonts w:eastAsia="Verdana" w:cs="Verdana"/>
          <w:color w:val="000000"/>
          <w:lang w:val="pt-PT"/>
        </w:rPr>
        <w:t xml:space="preserve">O protocolo de </w:t>
      </w:r>
      <w:r w:rsidR="00FE2526" w:rsidRPr="003F53F6">
        <w:rPr>
          <w:rFonts w:eastAsia="Verdana" w:cs="Verdana"/>
          <w:color w:val="000000"/>
          <w:lang w:val="pt-PT"/>
        </w:rPr>
        <w:t>avaliação</w:t>
      </w:r>
      <w:r w:rsidRPr="003F53F6">
        <w:rPr>
          <w:rFonts w:eastAsia="Verdana" w:cs="Verdana"/>
          <w:color w:val="000000"/>
          <w:lang w:val="pt-PT"/>
        </w:rPr>
        <w:t xml:space="preserve"> de </w:t>
      </w:r>
      <w:r w:rsidRPr="003F53F6">
        <w:rPr>
          <w:rFonts w:eastAsia="Verdana" w:cs="Verdana"/>
          <w:i/>
          <w:iCs/>
          <w:color w:val="000000"/>
          <w:lang w:val="pt-PT"/>
        </w:rPr>
        <w:t>Royalty Relief</w:t>
      </w:r>
      <w:r w:rsidRPr="003F53F6">
        <w:rPr>
          <w:rFonts w:eastAsia="Verdana" w:cs="Verdana"/>
          <w:color w:val="000000"/>
          <w:lang w:val="pt-PT"/>
        </w:rPr>
        <w:t xml:space="preserve"> é, portanto, uma combinação de elementos da abordagem pelo mercado – posto que a taxa de royalty adequada é estimada a partir de transações já concretizadas envolvendo ativos semelhantes ao analisado – e da abordagem pel</w:t>
      </w:r>
      <w:r w:rsidR="00F84FFD" w:rsidRPr="003F53F6">
        <w:rPr>
          <w:rFonts w:eastAsia="Verdana" w:cs="Verdana"/>
          <w:color w:val="000000"/>
          <w:lang w:val="pt-PT"/>
        </w:rPr>
        <w:t>os</w:t>
      </w:r>
      <w:r w:rsidRPr="003F53F6">
        <w:rPr>
          <w:rFonts w:eastAsia="Verdana" w:cs="Verdana"/>
          <w:color w:val="000000"/>
          <w:lang w:val="pt-PT"/>
        </w:rPr>
        <w:t xml:space="preserve"> </w:t>
      </w:r>
      <w:r w:rsidR="00F84FFD" w:rsidRPr="003F53F6">
        <w:rPr>
          <w:rFonts w:eastAsia="Verdana" w:cs="Verdana"/>
          <w:color w:val="000000"/>
          <w:lang w:val="pt-PT"/>
        </w:rPr>
        <w:t>rendimentos</w:t>
      </w:r>
      <w:r w:rsidRPr="003F53F6">
        <w:rPr>
          <w:rFonts w:eastAsia="Verdana" w:cs="Verdana"/>
          <w:color w:val="000000"/>
          <w:lang w:val="pt-PT"/>
        </w:rPr>
        <w:t xml:space="preserve"> – visto que o potencial de geração de receitas do ativo analisado precisa ser estimado para que se possa, então, aplicar a taxa de royalties. Esta combinação de fatores aporta ao método de </w:t>
      </w:r>
      <w:r w:rsidRPr="003F53F6">
        <w:rPr>
          <w:rFonts w:eastAsia="Verdana" w:cs="Verdana"/>
          <w:i/>
          <w:iCs/>
          <w:color w:val="000000"/>
          <w:lang w:val="pt-PT"/>
        </w:rPr>
        <w:t xml:space="preserve">Royalty Relief </w:t>
      </w:r>
      <w:r w:rsidRPr="003F53F6">
        <w:rPr>
          <w:rFonts w:eastAsia="Verdana" w:cs="Verdana"/>
          <w:color w:val="000000"/>
          <w:lang w:val="pt-PT"/>
        </w:rPr>
        <w:t>um perfil realista, posto que o valor calculado para o ativo analisado deriva de uma taxa de royalty já praticada em negócios anteriores e, comumente, disponível publicamente para fins de verificação por terceiros (HÜBSCHER; EHRHART, 2021).</w:t>
      </w:r>
    </w:p>
    <w:p w14:paraId="53977534" w14:textId="5BBD0128" w:rsidR="4C528AD0" w:rsidRPr="003F53F6" w:rsidRDefault="5DF3F1B9" w:rsidP="2D5C803A">
      <w:pPr>
        <w:tabs>
          <w:tab w:val="left" w:pos="709"/>
        </w:tabs>
        <w:spacing w:after="160"/>
        <w:ind w:firstLine="0"/>
        <w:rPr>
          <w:rFonts w:eastAsia="Verdana" w:cs="Verdana"/>
          <w:color w:val="000000"/>
          <w:lang w:val="pt-PT"/>
        </w:rPr>
      </w:pPr>
      <w:r w:rsidRPr="003F53F6">
        <w:rPr>
          <w:rFonts w:eastAsia="Verdana" w:cs="Verdana"/>
          <w:color w:val="000000"/>
          <w:lang w:val="pt-PT"/>
        </w:rPr>
        <w:t xml:space="preserve">O ponto mais importante desta metodologia é, portanto, a identificação da taxa de royalty mais adequada ao ativo em avaliação. Para tanto, recorre-se a transações prévias envolvendo ativos considerados semelhantes, </w:t>
      </w:r>
      <w:r w:rsidR="00F84FFD" w:rsidRPr="003F53F6">
        <w:rPr>
          <w:rFonts w:eastAsia="Verdana" w:cs="Verdana"/>
          <w:color w:val="000000"/>
          <w:lang w:val="pt-PT"/>
        </w:rPr>
        <w:t>registadas</w:t>
      </w:r>
      <w:r w:rsidRPr="003F53F6">
        <w:rPr>
          <w:rFonts w:eastAsia="Verdana" w:cs="Verdana"/>
          <w:color w:val="000000"/>
          <w:lang w:val="pt-PT"/>
        </w:rPr>
        <w:t xml:space="preserve"> publicamente, por exemplo, na </w:t>
      </w:r>
      <w:proofErr w:type="spellStart"/>
      <w:r w:rsidRPr="003F53F6">
        <w:rPr>
          <w:rFonts w:eastAsia="Verdana" w:cs="Verdana"/>
          <w:i/>
          <w:iCs/>
          <w:color w:val="000000"/>
          <w:lang w:val="pt-PT"/>
        </w:rPr>
        <w:t>Securities</w:t>
      </w:r>
      <w:proofErr w:type="spellEnd"/>
      <w:r w:rsidRPr="003F53F6">
        <w:rPr>
          <w:rFonts w:eastAsia="Verdana" w:cs="Verdana"/>
          <w:i/>
          <w:iCs/>
          <w:color w:val="000000"/>
          <w:lang w:val="pt-PT"/>
        </w:rPr>
        <w:t xml:space="preserve"> Exchange </w:t>
      </w:r>
      <w:proofErr w:type="spellStart"/>
      <w:r w:rsidRPr="003F53F6">
        <w:rPr>
          <w:rFonts w:eastAsia="Verdana" w:cs="Verdana"/>
          <w:i/>
          <w:iCs/>
          <w:color w:val="000000"/>
          <w:lang w:val="pt-PT"/>
        </w:rPr>
        <w:t>Comission</w:t>
      </w:r>
      <w:proofErr w:type="spellEnd"/>
      <w:r w:rsidRPr="003F53F6">
        <w:rPr>
          <w:rFonts w:eastAsia="Verdana" w:cs="Verdana"/>
          <w:i/>
          <w:iCs/>
          <w:color w:val="000000"/>
          <w:lang w:val="pt-PT"/>
        </w:rPr>
        <w:t xml:space="preserve"> </w:t>
      </w:r>
      <w:r w:rsidRPr="003F53F6">
        <w:rPr>
          <w:rFonts w:eastAsia="Verdana" w:cs="Verdana"/>
          <w:color w:val="000000"/>
          <w:lang w:val="pt-PT"/>
        </w:rPr>
        <w:t xml:space="preserve">(SEC), dos EUA. Em seguida, procede-se à análise dos valores de royalties estabelecidos nas transações identificadas. De modo geral, a estimação do valor de um ativo de PI através do método de </w:t>
      </w:r>
      <w:r w:rsidRPr="003F53F6">
        <w:rPr>
          <w:rFonts w:eastAsia="Verdana" w:cs="Verdana"/>
          <w:i/>
          <w:iCs/>
          <w:color w:val="000000"/>
          <w:lang w:val="pt-PT"/>
        </w:rPr>
        <w:t>Royalty Relief</w:t>
      </w:r>
      <w:r w:rsidRPr="003F53F6">
        <w:rPr>
          <w:rFonts w:eastAsia="Verdana" w:cs="Verdana"/>
          <w:color w:val="000000"/>
          <w:lang w:val="pt-PT"/>
        </w:rPr>
        <w:t xml:space="preserve"> compreende as seguintes etapas essenciais:</w:t>
      </w:r>
    </w:p>
    <w:p w14:paraId="5A28560D" w14:textId="7AB37F1B" w:rsidR="4C528AD0" w:rsidRPr="00FF7074" w:rsidRDefault="5DF3F1B9" w:rsidP="00ED0CA1">
      <w:pPr>
        <w:pStyle w:val="PargrafodaLista"/>
        <w:numPr>
          <w:ilvl w:val="0"/>
          <w:numId w:val="26"/>
        </w:numPr>
        <w:spacing w:after="160"/>
        <w:rPr>
          <w:rFonts w:eastAsia="Verdana" w:cs="Verdana"/>
          <w:lang w:val="pt-PT"/>
        </w:rPr>
      </w:pPr>
      <w:r w:rsidRPr="003F53F6">
        <w:rPr>
          <w:rFonts w:eastAsia="Verdana" w:cs="Verdana"/>
          <w:lang w:val="pt-PT"/>
        </w:rPr>
        <w:t>Identificação de transações de mercado (realizadas) relativas</w:t>
      </w:r>
      <w:r w:rsidRPr="00FF7074">
        <w:rPr>
          <w:rFonts w:eastAsia="Verdana" w:cs="Verdana"/>
          <w:lang w:val="pt-PT"/>
        </w:rPr>
        <w:t xml:space="preserve"> a ativos comparáveis com aquele em análise e identificação da taxa de </w:t>
      </w:r>
      <w:r w:rsidRPr="00FF7074">
        <w:rPr>
          <w:rFonts w:eastAsia="Verdana" w:cs="Verdana"/>
          <w:i/>
          <w:iCs/>
          <w:lang w:val="pt-PT"/>
        </w:rPr>
        <w:t xml:space="preserve">royalty </w:t>
      </w:r>
      <w:r w:rsidRPr="00FF7074">
        <w:rPr>
          <w:rFonts w:eastAsia="Verdana" w:cs="Verdana"/>
          <w:lang w:val="pt-PT"/>
        </w:rPr>
        <w:t>aplicada nessas transações (além do royalty mínimo, máximo, médio e mediano);</w:t>
      </w:r>
    </w:p>
    <w:p w14:paraId="34B4BC4A" w14:textId="36297671" w:rsidR="4C528AD0" w:rsidRPr="00FF7074" w:rsidRDefault="5DF3F1B9" w:rsidP="00ED0CA1">
      <w:pPr>
        <w:pStyle w:val="PargrafodaLista"/>
        <w:numPr>
          <w:ilvl w:val="0"/>
          <w:numId w:val="26"/>
        </w:numPr>
        <w:spacing w:after="160"/>
        <w:rPr>
          <w:rFonts w:eastAsia="Verdana" w:cs="Verdana"/>
          <w:lang w:val="pt-PT"/>
        </w:rPr>
      </w:pPr>
      <w:r w:rsidRPr="00FF7074">
        <w:rPr>
          <w:rFonts w:eastAsia="Verdana" w:cs="Verdana"/>
          <w:lang w:val="pt-PT"/>
        </w:rPr>
        <w:t xml:space="preserve">Aplicação da taxa de </w:t>
      </w:r>
      <w:r w:rsidRPr="00FF7074">
        <w:rPr>
          <w:rFonts w:eastAsia="Verdana" w:cs="Verdana"/>
          <w:i/>
          <w:iCs/>
          <w:lang w:val="pt-PT"/>
        </w:rPr>
        <w:t>royalty</w:t>
      </w:r>
      <w:r w:rsidRPr="00FF7074">
        <w:rPr>
          <w:rFonts w:eastAsia="Verdana" w:cs="Verdana"/>
          <w:lang w:val="pt-PT"/>
        </w:rPr>
        <w:t xml:space="preserve"> encontrada sobre projeções de vendas dos produtos/serviços associados ao ativo sendo avaliado, durante um determinado </w:t>
      </w:r>
      <w:proofErr w:type="gramStart"/>
      <w:r w:rsidRPr="00FF7074">
        <w:rPr>
          <w:rFonts w:eastAsia="Verdana" w:cs="Verdana"/>
          <w:lang w:val="pt-PT"/>
        </w:rPr>
        <w:t>período de tempo</w:t>
      </w:r>
      <w:proofErr w:type="gramEnd"/>
      <w:r w:rsidRPr="00FF7074">
        <w:rPr>
          <w:rFonts w:eastAsia="Verdana" w:cs="Verdana"/>
          <w:lang w:val="pt-PT"/>
        </w:rPr>
        <w:t>;</w:t>
      </w:r>
    </w:p>
    <w:p w14:paraId="32942243" w14:textId="0BBC0F15" w:rsidR="4C528AD0" w:rsidRPr="00FF7074" w:rsidRDefault="5DF3F1B9" w:rsidP="00ED0CA1">
      <w:pPr>
        <w:pStyle w:val="PargrafodaLista"/>
        <w:numPr>
          <w:ilvl w:val="0"/>
          <w:numId w:val="26"/>
        </w:numPr>
        <w:spacing w:after="160"/>
        <w:rPr>
          <w:rFonts w:eastAsia="Verdana" w:cs="Verdana"/>
          <w:lang w:val="pt-PT"/>
        </w:rPr>
      </w:pPr>
      <w:r w:rsidRPr="00FF7074">
        <w:rPr>
          <w:rFonts w:eastAsia="Verdana" w:cs="Verdana"/>
          <w:lang w:val="pt-PT"/>
        </w:rPr>
        <w:t xml:space="preserve">Cálculo dos fluxos anuais líquidos atribuíveis ao ativo, usando a taxa de </w:t>
      </w:r>
      <w:r w:rsidRPr="00FF7074">
        <w:rPr>
          <w:rFonts w:eastAsia="Verdana" w:cs="Verdana"/>
          <w:i/>
          <w:iCs/>
          <w:lang w:val="pt-PT"/>
        </w:rPr>
        <w:t>royalty</w:t>
      </w:r>
      <w:r w:rsidRPr="00FF7074">
        <w:rPr>
          <w:rFonts w:eastAsia="Verdana" w:cs="Verdana"/>
          <w:lang w:val="pt-PT"/>
        </w:rPr>
        <w:t xml:space="preserve"> de mercado;</w:t>
      </w:r>
    </w:p>
    <w:p w14:paraId="38EFEE72" w14:textId="1DD4074A" w:rsidR="4C528AD0" w:rsidRPr="00FF7074" w:rsidRDefault="5DF3F1B9" w:rsidP="00ED0CA1">
      <w:pPr>
        <w:pStyle w:val="PargrafodaLista"/>
        <w:numPr>
          <w:ilvl w:val="0"/>
          <w:numId w:val="26"/>
        </w:numPr>
        <w:spacing w:after="160"/>
        <w:rPr>
          <w:rFonts w:eastAsia="Verdana" w:cs="Verdana"/>
          <w:lang w:val="pt-PT"/>
        </w:rPr>
      </w:pPr>
      <w:r w:rsidRPr="00FF7074">
        <w:rPr>
          <w:rFonts w:eastAsia="Verdana" w:cs="Verdana"/>
          <w:lang w:val="pt-PT"/>
        </w:rPr>
        <w:t>Determinação do valor atual líquido dos fluxos e cálculo do valor econômico do ativo.</w:t>
      </w:r>
    </w:p>
    <w:p w14:paraId="4A2015D7" w14:textId="4119DAA2" w:rsidR="4C528AD0" w:rsidRPr="00FF7074" w:rsidRDefault="4C528AD0" w:rsidP="2D5C803A">
      <w:pPr>
        <w:tabs>
          <w:tab w:val="left" w:pos="709"/>
        </w:tabs>
        <w:spacing w:after="160"/>
        <w:ind w:firstLine="0"/>
        <w:rPr>
          <w:rFonts w:eastAsia="Verdana" w:cs="Verdana"/>
          <w:color w:val="000000"/>
          <w:lang w:val="pt-PT"/>
        </w:rPr>
      </w:pPr>
    </w:p>
    <w:p w14:paraId="64CF2868" w14:textId="54AE7A98" w:rsidR="4C528AD0" w:rsidRDefault="5DF3F1B9" w:rsidP="00881C3A">
      <w:pPr>
        <w:tabs>
          <w:tab w:val="left" w:pos="709"/>
        </w:tabs>
        <w:ind w:firstLine="0"/>
        <w:rPr>
          <w:rFonts w:eastAsia="Verdana" w:cs="Verdana"/>
          <w:color w:val="000000"/>
          <w:lang w:val="pt-PT"/>
        </w:rPr>
      </w:pPr>
      <w:r w:rsidRPr="00FF7074">
        <w:rPr>
          <w:rFonts w:eastAsia="Verdana" w:cs="Verdana"/>
          <w:color w:val="000000"/>
          <w:lang w:val="pt-PT"/>
        </w:rPr>
        <w:lastRenderedPageBreak/>
        <w:t xml:space="preserve">Fica evidente a complexidade de se estimar o valor de um ativo de PI, particularmente daqueles que envolvem uma tecnologia potencialmente inovadora em estágio de desenvolvimento ainda muito incipiente. Não obstante, a dificuldade da tarefa não exime a necessidade nem obscurece as vantagens de se estabelecer uma rotina de </w:t>
      </w:r>
      <w:r w:rsidR="00FE2526">
        <w:rPr>
          <w:rFonts w:eastAsia="Verdana" w:cs="Verdana"/>
          <w:color w:val="000000"/>
          <w:lang w:val="pt-PT"/>
        </w:rPr>
        <w:t>avaliação</w:t>
      </w:r>
      <w:r w:rsidRPr="00FF7074">
        <w:rPr>
          <w:rFonts w:eastAsia="Verdana" w:cs="Verdana"/>
          <w:color w:val="000000"/>
          <w:lang w:val="pt-PT"/>
        </w:rPr>
        <w:t xml:space="preserve"> dos ativos de PI em um portfólio. Seja através de medidas simplificadas – apenas para decisões gerenciais – seja utilizando métodos mais robustos – para a negociação factual de um ativo – conhecer o potencial valor dos ativos de PI em um portfólio é uma etapa crucial no amadurecimento das atividades de um gabinete de transferência de tecnologia de uma IES.</w:t>
      </w:r>
    </w:p>
    <w:p w14:paraId="56A22D0D" w14:textId="4080A4D8" w:rsidR="00881C3A" w:rsidRPr="00881C3A" w:rsidRDefault="00881C3A" w:rsidP="00881C3A">
      <w:pPr>
        <w:pStyle w:val="Ttulo2"/>
      </w:pPr>
      <w:bookmarkStart w:id="59" w:name="_Toc138420953"/>
      <w:r w:rsidRPr="00881C3A">
        <w:t>Comercialização de ativos de PI e transferência de tecnologia</w:t>
      </w:r>
      <w:bookmarkEnd w:id="59"/>
    </w:p>
    <w:p w14:paraId="26A72C88" w14:textId="77777777" w:rsidR="00881C3A" w:rsidRPr="00881C3A" w:rsidRDefault="00881C3A" w:rsidP="00881C3A">
      <w:pPr>
        <w:ind w:firstLine="0"/>
        <w:rPr>
          <w:rFonts w:eastAsia="Verdana" w:cs="Verdana"/>
          <w:color w:val="000000"/>
          <w:lang w:val="pt-PT"/>
        </w:rPr>
      </w:pPr>
      <w:r w:rsidRPr="00881C3A">
        <w:rPr>
          <w:rFonts w:eastAsia="Verdana" w:cs="Verdana"/>
          <w:color w:val="000000"/>
          <w:lang w:val="pt-PT"/>
        </w:rPr>
        <w:t xml:space="preserve">A transferência de tecnologia (TT) é um processo de colaboração que permite que as descobertas científicas, os conhecimentos e a PI passem dos criadores, como as universidades e as instituições de investigação, para o mercado. O seu objetivo é transformar as invenções e os resultados científicos em novos produtos e serviços que beneficiem a sociedade. A transferência de tecnologia está estreitamente relacionada com a transferência de conhecimentos. No contexto do presente estudo, a transferência de tecnologia pode ser definida em sentido estrito como "o processo através do qual as invenções ou a PI resultantes da investigação académica são licenciadas ou transmitidas através de direitos de utilização à indústria" (Association of </w:t>
      </w:r>
      <w:proofErr w:type="spellStart"/>
      <w:r w:rsidRPr="00881C3A">
        <w:rPr>
          <w:rFonts w:eastAsia="Verdana" w:cs="Verdana"/>
          <w:color w:val="000000"/>
          <w:lang w:val="pt-PT"/>
        </w:rPr>
        <w:t>University</w:t>
      </w:r>
      <w:proofErr w:type="spellEnd"/>
      <w:r w:rsidRPr="00881C3A">
        <w:rPr>
          <w:rFonts w:eastAsia="Verdana" w:cs="Verdana"/>
          <w:color w:val="000000"/>
          <w:lang w:val="pt-PT"/>
        </w:rPr>
        <w:t xml:space="preserve"> </w:t>
      </w:r>
      <w:proofErr w:type="spellStart"/>
      <w:r w:rsidRPr="00881C3A">
        <w:rPr>
          <w:rFonts w:eastAsia="Verdana" w:cs="Verdana"/>
          <w:color w:val="000000"/>
          <w:lang w:val="pt-PT"/>
        </w:rPr>
        <w:t>Technology</w:t>
      </w:r>
      <w:proofErr w:type="spellEnd"/>
      <w:r w:rsidRPr="00881C3A">
        <w:rPr>
          <w:rFonts w:eastAsia="Verdana" w:cs="Verdana"/>
          <w:color w:val="000000"/>
          <w:lang w:val="pt-PT"/>
        </w:rPr>
        <w:t xml:space="preserve"> Managers (AUTM), 2000).</w:t>
      </w:r>
    </w:p>
    <w:p w14:paraId="76642AF4" w14:textId="77777777" w:rsidR="00881C3A" w:rsidRPr="00881C3A" w:rsidRDefault="00881C3A" w:rsidP="00881C3A">
      <w:pPr>
        <w:ind w:firstLine="0"/>
        <w:rPr>
          <w:rFonts w:eastAsia="Verdana" w:cs="Verdana"/>
          <w:color w:val="000000"/>
          <w:lang w:val="pt-PT"/>
        </w:rPr>
      </w:pPr>
      <w:r w:rsidRPr="00881C3A">
        <w:rPr>
          <w:rFonts w:eastAsia="Verdana" w:cs="Verdana"/>
          <w:color w:val="000000"/>
          <w:lang w:val="pt-PT"/>
        </w:rPr>
        <w:t>A transferência de tecnologia apoia o ciclo de vida da tecnologia, desde a sua conceção até à difusão e comercialização no mercado. No contexto das IES, estimular o fluxo de ideias e invenções dos laboratórios das universidades para o mercado tem como objetivo beneficiar a sociedade através de novos produtos, processos, empregos e ideias.</w:t>
      </w:r>
    </w:p>
    <w:p w14:paraId="571F974C" w14:textId="7BD0D2C4" w:rsidR="00550133" w:rsidRDefault="00881C3A" w:rsidP="00881C3A">
      <w:pPr>
        <w:ind w:firstLine="0"/>
        <w:rPr>
          <w:rFonts w:eastAsia="Verdana" w:cs="Verdana"/>
          <w:color w:val="000000"/>
          <w:lang w:val="pt-PT"/>
        </w:rPr>
      </w:pPr>
      <w:r w:rsidRPr="00881C3A">
        <w:rPr>
          <w:rFonts w:eastAsia="Verdana" w:cs="Verdana"/>
          <w:color w:val="000000"/>
          <w:lang w:val="pt-PT"/>
        </w:rPr>
        <w:t>No contexto da transferência entre as IES e os sectores industriais, são identificadas, no mínimo, três partes interessadas: As IES, os Gabinetes de Transferência de Tecnologia (</w:t>
      </w:r>
      <w:proofErr w:type="spellStart"/>
      <w:r w:rsidRPr="00881C3A">
        <w:rPr>
          <w:rFonts w:eastAsia="Verdana" w:cs="Verdana"/>
          <w:color w:val="000000"/>
          <w:lang w:val="pt-PT"/>
        </w:rPr>
        <w:t>TTOs</w:t>
      </w:r>
      <w:proofErr w:type="spellEnd"/>
      <w:r w:rsidRPr="00881C3A">
        <w:rPr>
          <w:rFonts w:eastAsia="Verdana" w:cs="Verdana"/>
          <w:color w:val="000000"/>
          <w:lang w:val="pt-PT"/>
        </w:rPr>
        <w:t>) e a indústria. Estas partes interessadas têm a sua própria motivação quando efetuam a negociação entre si, que são apresentadas na figura seguinte:</w:t>
      </w:r>
    </w:p>
    <w:p w14:paraId="01681150" w14:textId="77777777" w:rsidR="00881C3A" w:rsidRDefault="00881C3A" w:rsidP="00881C3A">
      <w:pPr>
        <w:ind w:firstLine="0"/>
        <w:rPr>
          <w:rFonts w:eastAsia="Verdana" w:cs="Verdana"/>
          <w:color w:val="000000"/>
          <w:lang w:val="pt-PT"/>
        </w:rPr>
      </w:pPr>
    </w:p>
    <w:p w14:paraId="39C9BC56" w14:textId="392832D7" w:rsidR="00881C3A" w:rsidRDefault="00087EC4" w:rsidP="00881C3A">
      <w:pPr>
        <w:ind w:firstLine="0"/>
        <w:rPr>
          <w:rFonts w:eastAsia="Verdana" w:cs="Verdana"/>
          <w:color w:val="000000"/>
          <w:lang w:val="pt-PT"/>
        </w:rPr>
      </w:pPr>
      <w:r>
        <w:rPr>
          <w:noProof/>
        </w:rPr>
        <w:lastRenderedPageBreak/>
        <w:drawing>
          <wp:inline distT="0" distB="0" distL="0" distR="0" wp14:anchorId="5633448F" wp14:editId="07DA15B8">
            <wp:extent cx="5344032" cy="2930055"/>
            <wp:effectExtent l="0" t="0" r="9525" b="381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extLst>
                        <a:ext uri="{BEBA8EAE-BF5A-486C-A8C5-ECC9F3942E4B}">
                          <a14:imgProps xmlns:a14="http://schemas.microsoft.com/office/drawing/2010/main">
                            <a14:imgLayer r:embed="rId36">
                              <a14:imgEffect>
                                <a14:sharpenSoften amount="50000"/>
                              </a14:imgEffect>
                            </a14:imgLayer>
                          </a14:imgProps>
                        </a:ext>
                      </a:extLst>
                    </a:blip>
                    <a:srcRect l="11820" t="34350" r="36973" b="15737"/>
                    <a:stretch/>
                  </pic:blipFill>
                  <pic:spPr bwMode="auto">
                    <a:xfrm>
                      <a:off x="0" y="0"/>
                      <a:ext cx="5374404" cy="2946707"/>
                    </a:xfrm>
                    <a:prstGeom prst="rect">
                      <a:avLst/>
                    </a:prstGeom>
                    <a:ln>
                      <a:noFill/>
                    </a:ln>
                    <a:extLst>
                      <a:ext uri="{53640926-AAD7-44D8-BBD7-CCE9431645EC}">
                        <a14:shadowObscured xmlns:a14="http://schemas.microsoft.com/office/drawing/2010/main"/>
                      </a:ext>
                    </a:extLst>
                  </pic:spPr>
                </pic:pic>
              </a:graphicData>
            </a:graphic>
          </wp:inline>
        </w:drawing>
      </w:r>
    </w:p>
    <w:p w14:paraId="71822947" w14:textId="7F5497E6" w:rsidR="00A41315" w:rsidRPr="004C6BFA" w:rsidRDefault="00A41315" w:rsidP="00A41315">
      <w:pPr>
        <w:spacing w:after="0" w:line="276" w:lineRule="auto"/>
        <w:ind w:firstLine="0"/>
        <w:jc w:val="center"/>
        <w:rPr>
          <w:i/>
          <w:iCs/>
          <w:color w:val="4B4F54" w:themeColor="text1"/>
          <w:sz w:val="18"/>
          <w:szCs w:val="18"/>
          <w:lang w:val="pt-PT"/>
        </w:rPr>
      </w:pPr>
      <w:r w:rsidRPr="004C6BFA">
        <w:rPr>
          <w:rFonts w:eastAsia="Verdana"/>
          <w:i/>
          <w:iCs/>
          <w:color w:val="4B4F54" w:themeColor="text1"/>
          <w:sz w:val="18"/>
          <w:szCs w:val="18"/>
          <w:lang w:val="pt-PT" w:eastAsia="en-US"/>
        </w:rPr>
        <w:t xml:space="preserve">Figura </w:t>
      </w:r>
      <w:r w:rsidRPr="004C6BFA">
        <w:rPr>
          <w:rFonts w:eastAsia="Verdana"/>
          <w:i/>
          <w:iCs/>
          <w:color w:val="4B4F54" w:themeColor="text1"/>
          <w:sz w:val="18"/>
          <w:szCs w:val="18"/>
          <w:lang w:val="pt-PT" w:eastAsia="en-US"/>
        </w:rPr>
        <w:fldChar w:fldCharType="begin"/>
      </w:r>
      <w:r w:rsidRPr="004C6BFA">
        <w:rPr>
          <w:rFonts w:eastAsia="Verdana"/>
          <w:i/>
          <w:iCs/>
          <w:color w:val="4B4F54" w:themeColor="text1"/>
          <w:sz w:val="18"/>
          <w:szCs w:val="18"/>
          <w:lang w:val="pt-PT" w:eastAsia="en-US"/>
        </w:rPr>
        <w:instrText xml:space="preserve"> SEQ Figura \* ARABIC </w:instrText>
      </w:r>
      <w:r w:rsidRPr="004C6BFA">
        <w:rPr>
          <w:rFonts w:eastAsia="Verdana"/>
          <w:i/>
          <w:iCs/>
          <w:color w:val="4B4F54" w:themeColor="text1"/>
          <w:sz w:val="18"/>
          <w:szCs w:val="18"/>
          <w:lang w:val="pt-PT" w:eastAsia="en-US"/>
        </w:rPr>
        <w:fldChar w:fldCharType="separate"/>
      </w:r>
      <w:r w:rsidR="008617AF">
        <w:rPr>
          <w:rFonts w:eastAsia="Verdana"/>
          <w:i/>
          <w:iCs/>
          <w:noProof/>
          <w:color w:val="4B4F54" w:themeColor="text1"/>
          <w:sz w:val="18"/>
          <w:szCs w:val="18"/>
          <w:lang w:val="pt-PT" w:eastAsia="en-US"/>
        </w:rPr>
        <w:t>16</w:t>
      </w:r>
      <w:r w:rsidRPr="004C6BFA">
        <w:rPr>
          <w:rFonts w:eastAsia="Verdana"/>
          <w:i/>
          <w:iCs/>
          <w:color w:val="4B4F54" w:themeColor="text1"/>
          <w:sz w:val="18"/>
          <w:szCs w:val="18"/>
          <w:lang w:val="pt-PT" w:eastAsia="en-US"/>
        </w:rPr>
        <w:fldChar w:fldCharType="end"/>
      </w:r>
      <w:r w:rsidRPr="004C6BFA">
        <w:rPr>
          <w:i/>
          <w:iCs/>
          <w:color w:val="4B4F54" w:themeColor="text1"/>
          <w:sz w:val="18"/>
          <w:szCs w:val="18"/>
          <w:lang w:val="pt-PT"/>
        </w:rPr>
        <w:t>: Principais intervenientes na transferência de tecnologia das IES para a indústria.</w:t>
      </w:r>
    </w:p>
    <w:p w14:paraId="29767750" w14:textId="77777777" w:rsidR="00A41315" w:rsidRPr="004C6BFA" w:rsidRDefault="00A41315" w:rsidP="00A41315">
      <w:pPr>
        <w:spacing w:after="0" w:line="276" w:lineRule="auto"/>
        <w:ind w:firstLine="0"/>
        <w:jc w:val="center"/>
        <w:rPr>
          <w:i/>
          <w:iCs/>
          <w:color w:val="4B4F54" w:themeColor="text1"/>
          <w:sz w:val="16"/>
          <w:szCs w:val="16"/>
          <w:lang w:val="pt-PT"/>
        </w:rPr>
      </w:pPr>
      <w:r w:rsidRPr="004C6BFA">
        <w:rPr>
          <w:i/>
          <w:iCs/>
          <w:color w:val="4B4F54" w:themeColor="text1"/>
          <w:sz w:val="16"/>
          <w:szCs w:val="16"/>
          <w:lang w:val="pt-PT"/>
        </w:rPr>
        <w:t xml:space="preserve">Fonte: </w:t>
      </w:r>
      <w:proofErr w:type="spellStart"/>
      <w:r w:rsidRPr="004C6BFA">
        <w:rPr>
          <w:i/>
          <w:iCs/>
          <w:color w:val="4B4F54" w:themeColor="text1"/>
          <w:sz w:val="16"/>
          <w:szCs w:val="16"/>
          <w:lang w:val="pt-PT"/>
        </w:rPr>
        <w:t>Siegel</w:t>
      </w:r>
      <w:proofErr w:type="spellEnd"/>
      <w:r w:rsidRPr="004C6BFA">
        <w:rPr>
          <w:i/>
          <w:iCs/>
          <w:color w:val="4B4F54" w:themeColor="text1"/>
          <w:sz w:val="16"/>
          <w:szCs w:val="16"/>
          <w:lang w:val="pt-PT"/>
        </w:rPr>
        <w:t xml:space="preserve"> </w:t>
      </w:r>
      <w:proofErr w:type="spellStart"/>
      <w:r w:rsidRPr="004C6BFA">
        <w:rPr>
          <w:i/>
          <w:iCs/>
          <w:color w:val="4B4F54" w:themeColor="text1"/>
          <w:sz w:val="16"/>
          <w:szCs w:val="16"/>
          <w:lang w:val="pt-PT"/>
        </w:rPr>
        <w:t>et</w:t>
      </w:r>
      <w:proofErr w:type="spellEnd"/>
      <w:r w:rsidRPr="004C6BFA">
        <w:rPr>
          <w:i/>
          <w:iCs/>
          <w:color w:val="4B4F54" w:themeColor="text1"/>
          <w:sz w:val="16"/>
          <w:szCs w:val="16"/>
          <w:lang w:val="pt-PT"/>
        </w:rPr>
        <w:t xml:space="preserve"> al. (2004).</w:t>
      </w:r>
    </w:p>
    <w:p w14:paraId="58E7AA88" w14:textId="77777777" w:rsidR="00881C3A" w:rsidRPr="00952711" w:rsidRDefault="00881C3A" w:rsidP="00881C3A">
      <w:pPr>
        <w:ind w:firstLine="0"/>
        <w:rPr>
          <w:rFonts w:eastAsia="Verdana" w:cs="Verdana"/>
          <w:color w:val="000000"/>
          <w:sz w:val="4"/>
          <w:szCs w:val="4"/>
          <w:lang w:val="pt-PT"/>
        </w:rPr>
      </w:pPr>
    </w:p>
    <w:p w14:paraId="2EF24E70" w14:textId="48A6F4E7" w:rsidR="00952711" w:rsidRDefault="00952711" w:rsidP="00261575">
      <w:pPr>
        <w:pStyle w:val="Ttulo3"/>
      </w:pPr>
      <w:bookmarkStart w:id="60" w:name="_Toc138420954"/>
      <w:r>
        <w:t>Tipologias de</w:t>
      </w:r>
      <w:r w:rsidRPr="00952711">
        <w:t xml:space="preserve"> </w:t>
      </w:r>
      <w:proofErr w:type="spellStart"/>
      <w:r w:rsidRPr="00952711">
        <w:t>de</w:t>
      </w:r>
      <w:proofErr w:type="spellEnd"/>
      <w:r w:rsidRPr="00952711">
        <w:t xml:space="preserve"> transferência de tecnologia</w:t>
      </w:r>
      <w:bookmarkEnd w:id="60"/>
    </w:p>
    <w:p w14:paraId="4B19D7FC" w14:textId="77777777" w:rsidR="00952711" w:rsidRDefault="00952711" w:rsidP="00881C3A">
      <w:pPr>
        <w:ind w:firstLine="0"/>
        <w:rPr>
          <w:rFonts w:eastAsia="Verdana" w:cs="Verdana"/>
          <w:color w:val="000000"/>
          <w:lang w:val="pt-PT"/>
        </w:rPr>
      </w:pPr>
    </w:p>
    <w:p w14:paraId="74F4FB1C" w14:textId="77777777" w:rsidR="00550133" w:rsidRPr="004744F1" w:rsidRDefault="00550133" w:rsidP="004744F1">
      <w:pPr>
        <w:pStyle w:val="PargrafodaLista"/>
        <w:numPr>
          <w:ilvl w:val="0"/>
          <w:numId w:val="41"/>
        </w:numPr>
        <w:rPr>
          <w:rFonts w:asciiTheme="minorHAnsi" w:hAnsiTheme="minorHAnsi"/>
          <w:lang w:val="pt-PT"/>
        </w:rPr>
      </w:pPr>
      <w:r w:rsidRPr="004744F1">
        <w:rPr>
          <w:rFonts w:asciiTheme="minorHAnsi" w:hAnsiTheme="minorHAnsi"/>
          <w:b/>
          <w:bCs/>
          <w:lang w:val="pt-PT"/>
        </w:rPr>
        <w:t xml:space="preserve">Licenciamento de propriedade intelectual (PI): </w:t>
      </w:r>
    </w:p>
    <w:p w14:paraId="75525B3A" w14:textId="77777777" w:rsidR="00550133" w:rsidRPr="004744F1" w:rsidRDefault="00550133" w:rsidP="004744F1">
      <w:pPr>
        <w:ind w:firstLine="0"/>
        <w:rPr>
          <w:rFonts w:asciiTheme="minorHAnsi" w:hAnsiTheme="minorHAnsi"/>
          <w:lang w:val="pt-PT"/>
        </w:rPr>
      </w:pPr>
      <w:r w:rsidRPr="004744F1">
        <w:rPr>
          <w:rFonts w:asciiTheme="minorHAnsi" w:hAnsiTheme="minorHAnsi"/>
          <w:lang w:val="pt-PT"/>
        </w:rPr>
        <w:t>O licenciamento na transferência de tecnologia para as IES envolve o processo de transferência de direitos de PI desenvolvidos na instituição para entidades externas, normalmente para efeitos de comercialização. As IES envolvem-se frequentemente em atividades de investigação e desenvolvimento que resultam em tecnologias inovadoras, invenções ou descobertas. O licenciamento destas tecnologias oferece às IES uma oportunidade de promover a inovação, impulsionar o desenvolvimento económico e traduzir a sua investigação em aplicações reais, maximizando o impacto social e económico da sua investigação e promovendo a colaboração com as partes interessadas da indústria.</w:t>
      </w:r>
    </w:p>
    <w:p w14:paraId="7382BC39" w14:textId="77777777" w:rsidR="00550133" w:rsidRPr="004744F1" w:rsidRDefault="00550133" w:rsidP="004744F1">
      <w:pPr>
        <w:ind w:firstLine="0"/>
        <w:rPr>
          <w:rFonts w:asciiTheme="minorHAnsi" w:hAnsiTheme="minorHAnsi"/>
          <w:lang w:val="pt-PT"/>
        </w:rPr>
      </w:pPr>
      <w:r w:rsidRPr="004744F1">
        <w:rPr>
          <w:rFonts w:asciiTheme="minorHAnsi" w:hAnsiTheme="minorHAnsi"/>
          <w:lang w:val="pt-PT"/>
        </w:rPr>
        <w:t>Existem algumas considerações fundamentais específicas sobre o licenciamento para as IES:</w:t>
      </w:r>
    </w:p>
    <w:p w14:paraId="797BD628" w14:textId="77777777" w:rsidR="00550133" w:rsidRPr="004744F1" w:rsidRDefault="00550133" w:rsidP="004744F1">
      <w:pPr>
        <w:pStyle w:val="PargrafodaLista"/>
        <w:numPr>
          <w:ilvl w:val="0"/>
          <w:numId w:val="42"/>
        </w:numPr>
        <w:ind w:left="714" w:hanging="357"/>
        <w:rPr>
          <w:rFonts w:asciiTheme="minorHAnsi" w:hAnsiTheme="minorHAnsi"/>
          <w:lang w:val="pt-PT"/>
        </w:rPr>
      </w:pPr>
      <w:r w:rsidRPr="004744F1">
        <w:rPr>
          <w:rFonts w:asciiTheme="minorHAnsi" w:hAnsiTheme="minorHAnsi"/>
          <w:i/>
          <w:iCs/>
          <w:lang w:val="pt-PT"/>
        </w:rPr>
        <w:t>Estratégias de concessão de licenças</w:t>
      </w:r>
      <w:r w:rsidRPr="004744F1">
        <w:rPr>
          <w:rFonts w:asciiTheme="minorHAnsi" w:hAnsiTheme="minorHAnsi"/>
          <w:lang w:val="pt-PT"/>
        </w:rPr>
        <w:t xml:space="preserve">: As IES podem adotar diferentes estratégias de licenciamento com base nos seus objetivos e na tecnologia específica a transferir. Estas estratégias podem incluir licenças exclusivas ou não exclusivas, licenças específicas por domínio, licenças regionais ou globais, formação de </w:t>
      </w:r>
      <w:proofErr w:type="spellStart"/>
      <w:r w:rsidRPr="004744F1">
        <w:rPr>
          <w:rFonts w:asciiTheme="minorHAnsi" w:hAnsiTheme="minorHAnsi"/>
          <w:lang w:val="pt-PT"/>
        </w:rPr>
        <w:t>startups</w:t>
      </w:r>
      <w:proofErr w:type="spellEnd"/>
      <w:r w:rsidRPr="004744F1">
        <w:rPr>
          <w:rFonts w:asciiTheme="minorHAnsi" w:hAnsiTheme="minorHAnsi"/>
          <w:lang w:val="pt-PT"/>
        </w:rPr>
        <w:t xml:space="preserve"> ou empresas </w:t>
      </w:r>
      <w:proofErr w:type="spellStart"/>
      <w:r w:rsidRPr="004744F1">
        <w:rPr>
          <w:rFonts w:asciiTheme="minorHAnsi" w:hAnsiTheme="minorHAnsi"/>
          <w:lang w:val="pt-PT"/>
        </w:rPr>
        <w:t>spin-off</w:t>
      </w:r>
      <w:proofErr w:type="spellEnd"/>
      <w:r w:rsidRPr="004744F1">
        <w:rPr>
          <w:rFonts w:asciiTheme="minorHAnsi" w:hAnsiTheme="minorHAnsi"/>
          <w:lang w:val="pt-PT"/>
        </w:rPr>
        <w:t>. A estratégia escolhida deve estar alinhada com os objetivos da instituição e maximizar o potencial de comercialização da tecnologia.</w:t>
      </w:r>
    </w:p>
    <w:p w14:paraId="1ED3BBB0" w14:textId="77777777" w:rsidR="00550133" w:rsidRPr="004744F1" w:rsidRDefault="00550133" w:rsidP="004744F1">
      <w:pPr>
        <w:pStyle w:val="PargrafodaLista"/>
        <w:numPr>
          <w:ilvl w:val="0"/>
          <w:numId w:val="42"/>
        </w:numPr>
        <w:ind w:left="714" w:hanging="357"/>
        <w:rPr>
          <w:rFonts w:asciiTheme="minorHAnsi" w:hAnsiTheme="minorHAnsi"/>
          <w:lang w:val="pt-PT"/>
        </w:rPr>
      </w:pPr>
      <w:r w:rsidRPr="004744F1">
        <w:rPr>
          <w:rFonts w:asciiTheme="minorHAnsi" w:hAnsiTheme="minorHAnsi"/>
          <w:i/>
          <w:iCs/>
          <w:lang w:val="pt-PT"/>
        </w:rPr>
        <w:lastRenderedPageBreak/>
        <w:t>Negociação de acordos de licenciamento</w:t>
      </w:r>
      <w:r w:rsidRPr="004744F1">
        <w:rPr>
          <w:rFonts w:asciiTheme="minorHAnsi" w:hAnsiTheme="minorHAnsi"/>
          <w:lang w:val="pt-PT"/>
        </w:rPr>
        <w:t>: As IES entram em negociações com potenciais licenciados para estabelecer acordos de licenciamento mutuamente benéficos. Estes acordos especificam os termos e condições em que o licenciado pode utilizar, desenvolver ou comercializar a tecnologia. Os termos de licenciamento, considerações financeiras (por exemplo, royalties, taxas iniciais), marcos de desempenho e direitos de PI são normalmente abordados no acordo.</w:t>
      </w:r>
    </w:p>
    <w:p w14:paraId="3BD40BDB" w14:textId="77777777" w:rsidR="00550133" w:rsidRPr="004744F1" w:rsidRDefault="00550133" w:rsidP="004744F1">
      <w:pPr>
        <w:pStyle w:val="PargrafodaLista"/>
        <w:numPr>
          <w:ilvl w:val="0"/>
          <w:numId w:val="42"/>
        </w:numPr>
        <w:ind w:left="714" w:hanging="357"/>
        <w:rPr>
          <w:rFonts w:asciiTheme="minorHAnsi" w:hAnsiTheme="minorHAnsi"/>
          <w:lang w:val="pt-PT"/>
        </w:rPr>
      </w:pPr>
      <w:r w:rsidRPr="004744F1">
        <w:rPr>
          <w:rFonts w:asciiTheme="minorHAnsi" w:hAnsiTheme="minorHAnsi"/>
          <w:i/>
          <w:iCs/>
          <w:lang w:val="pt-PT"/>
        </w:rPr>
        <w:t>Conformidade e considerações legais</w:t>
      </w:r>
      <w:r w:rsidRPr="004744F1">
        <w:rPr>
          <w:rFonts w:asciiTheme="minorHAnsi" w:hAnsiTheme="minorHAnsi"/>
          <w:lang w:val="pt-PT"/>
        </w:rPr>
        <w:t>: As IES devem cumprir as leis, regulamentos e políticas relevantes que regem a transferência de tecnologia e a PI. Estas podem incluir regulamentos de controlo das exportações, conflitos de interesses, considerações éticas e conformidade com os requisitos das agências de financiamento. As IES devem garantir que as atividades de licenciamento respeitam estes quadros legais e regulamentares.</w:t>
      </w:r>
    </w:p>
    <w:p w14:paraId="50D79DE2" w14:textId="77777777" w:rsidR="00550133" w:rsidRPr="004744F1" w:rsidRDefault="00550133" w:rsidP="004744F1">
      <w:pPr>
        <w:pStyle w:val="PargrafodaLista"/>
        <w:rPr>
          <w:rFonts w:asciiTheme="minorHAnsi" w:hAnsiTheme="minorHAnsi"/>
          <w:lang w:val="pt-PT"/>
        </w:rPr>
      </w:pPr>
    </w:p>
    <w:p w14:paraId="7AD0D252" w14:textId="77777777" w:rsidR="00550133" w:rsidRPr="004744F1" w:rsidRDefault="00550133" w:rsidP="004744F1">
      <w:pPr>
        <w:pStyle w:val="PargrafodaLista"/>
        <w:numPr>
          <w:ilvl w:val="0"/>
          <w:numId w:val="44"/>
        </w:numPr>
        <w:rPr>
          <w:rFonts w:asciiTheme="minorHAnsi" w:hAnsiTheme="minorHAnsi"/>
          <w:lang w:val="pt-PT"/>
        </w:rPr>
      </w:pPr>
      <w:r w:rsidRPr="004744F1">
        <w:rPr>
          <w:rFonts w:asciiTheme="minorHAnsi" w:hAnsiTheme="minorHAnsi"/>
          <w:b/>
          <w:bCs/>
          <w:lang w:val="pt-PT"/>
        </w:rPr>
        <w:t>Venda de direitos de PI ou de tecnologias:</w:t>
      </w:r>
    </w:p>
    <w:p w14:paraId="38219138" w14:textId="77777777" w:rsidR="00550133" w:rsidRPr="004744F1" w:rsidRDefault="00550133" w:rsidP="004744F1">
      <w:pPr>
        <w:ind w:firstLine="0"/>
        <w:rPr>
          <w:rFonts w:asciiTheme="minorHAnsi" w:hAnsiTheme="minorHAnsi"/>
          <w:lang w:val="pt-PT"/>
        </w:rPr>
      </w:pPr>
      <w:r w:rsidRPr="004744F1">
        <w:rPr>
          <w:rFonts w:asciiTheme="minorHAnsi" w:hAnsiTheme="minorHAnsi"/>
          <w:lang w:val="pt-PT"/>
        </w:rPr>
        <w:t>A venda direta de direitos de PI ou de tecnologias desenvolvidas na instituição a entidades externas, normalmente parceiros industriais ou organizações comerciais, oferece às IES uma via para rentabilizar os seus ativos de PI e promover a comercialização de tecnologia, estimulando o crescimento económico e maximizando o impacto dos seus resultados de investigação.</w:t>
      </w:r>
    </w:p>
    <w:p w14:paraId="7ACCEDE0" w14:textId="77777777" w:rsidR="00550133" w:rsidRPr="004744F1" w:rsidRDefault="00550133" w:rsidP="004744F1">
      <w:pPr>
        <w:ind w:firstLine="0"/>
        <w:rPr>
          <w:rFonts w:asciiTheme="minorHAnsi" w:hAnsiTheme="minorHAnsi"/>
          <w:lang w:val="pt-PT"/>
        </w:rPr>
      </w:pPr>
      <w:r w:rsidRPr="004744F1">
        <w:rPr>
          <w:rFonts w:asciiTheme="minorHAnsi" w:hAnsiTheme="minorHAnsi"/>
          <w:lang w:val="pt-PT"/>
        </w:rPr>
        <w:t>Os fatores-chave para as IES quando se envolvem na venda de tecnologia são:</w:t>
      </w:r>
    </w:p>
    <w:p w14:paraId="22CEB718" w14:textId="77777777" w:rsidR="00550133" w:rsidRPr="004744F1" w:rsidRDefault="00550133" w:rsidP="004744F1">
      <w:pPr>
        <w:pStyle w:val="PargrafodaLista"/>
        <w:numPr>
          <w:ilvl w:val="0"/>
          <w:numId w:val="45"/>
        </w:numPr>
        <w:ind w:left="714" w:hanging="357"/>
        <w:rPr>
          <w:rFonts w:asciiTheme="minorHAnsi" w:hAnsiTheme="minorHAnsi"/>
          <w:lang w:val="pt-PT"/>
        </w:rPr>
      </w:pPr>
      <w:r w:rsidRPr="004744F1">
        <w:rPr>
          <w:rFonts w:asciiTheme="minorHAnsi" w:hAnsiTheme="minorHAnsi"/>
          <w:i/>
          <w:iCs/>
          <w:lang w:val="pt-PT"/>
        </w:rPr>
        <w:t>Avaliação da tecnologia</w:t>
      </w:r>
      <w:r w:rsidRPr="004744F1">
        <w:rPr>
          <w:rFonts w:asciiTheme="minorHAnsi" w:hAnsiTheme="minorHAnsi"/>
          <w:lang w:val="pt-PT"/>
        </w:rPr>
        <w:t xml:space="preserve">: Avaliar o potencial comercial da tecnologia, a procura do mercado e a proposta de valor. Avaliar a sua vantagem competitiva, escalabilidade e potencial para uma comercialização </w:t>
      </w:r>
      <w:proofErr w:type="gramStart"/>
      <w:r w:rsidRPr="004744F1">
        <w:rPr>
          <w:rFonts w:asciiTheme="minorHAnsi" w:hAnsiTheme="minorHAnsi"/>
          <w:lang w:val="pt-PT"/>
        </w:rPr>
        <w:t>bem sucedida</w:t>
      </w:r>
      <w:proofErr w:type="gramEnd"/>
      <w:r w:rsidRPr="004744F1">
        <w:rPr>
          <w:rFonts w:asciiTheme="minorHAnsi" w:hAnsiTheme="minorHAnsi"/>
          <w:lang w:val="pt-PT"/>
        </w:rPr>
        <w:t>. Considerar fatores como a dimensão do mercado, os clientes-alvo e a adequação da tecnologia ao panorama da indústria.</w:t>
      </w:r>
    </w:p>
    <w:p w14:paraId="6F52CBFD" w14:textId="77777777" w:rsidR="00550133" w:rsidRPr="004744F1" w:rsidRDefault="00550133" w:rsidP="004744F1">
      <w:pPr>
        <w:pStyle w:val="PargrafodaLista"/>
        <w:numPr>
          <w:ilvl w:val="0"/>
          <w:numId w:val="45"/>
        </w:numPr>
        <w:ind w:left="714" w:hanging="357"/>
        <w:rPr>
          <w:rFonts w:asciiTheme="minorHAnsi" w:hAnsiTheme="minorHAnsi"/>
          <w:lang w:val="pt-PT"/>
        </w:rPr>
      </w:pPr>
      <w:r w:rsidRPr="004744F1">
        <w:rPr>
          <w:rFonts w:asciiTheme="minorHAnsi" w:hAnsiTheme="minorHAnsi"/>
          <w:i/>
          <w:iCs/>
          <w:lang w:val="pt-PT"/>
        </w:rPr>
        <w:t>Marketing e promoção</w:t>
      </w:r>
      <w:r w:rsidRPr="004744F1">
        <w:rPr>
          <w:rFonts w:asciiTheme="minorHAnsi" w:hAnsiTheme="minorHAnsi"/>
          <w:lang w:val="pt-PT"/>
        </w:rPr>
        <w:t xml:space="preserve">: Desenvolver uma estratégia de marketing para alcançar potenciais compradores e mostrar os benefícios e aplicações da tecnologia. Criar materiais de marketing, tais como brochuras sobre a tecnologia, apresentações e estudos de casos, destacando os pontos de venda únicos da tecnologia, as vantagens e o potencial impacto no mercado. Aproveitar os eventos de </w:t>
      </w:r>
      <w:proofErr w:type="spellStart"/>
      <w:r w:rsidRPr="004744F1">
        <w:rPr>
          <w:rFonts w:asciiTheme="minorHAnsi" w:hAnsiTheme="minorHAnsi"/>
          <w:i/>
          <w:iCs/>
          <w:lang w:val="pt-PT"/>
        </w:rPr>
        <w:t>networking</w:t>
      </w:r>
      <w:proofErr w:type="spellEnd"/>
      <w:r w:rsidRPr="004744F1">
        <w:rPr>
          <w:rFonts w:asciiTheme="minorHAnsi" w:hAnsiTheme="minorHAnsi"/>
          <w:lang w:val="pt-PT"/>
        </w:rPr>
        <w:t>, conferências e plataformas do sector para estabelecer contacto com potenciais compradores.</w:t>
      </w:r>
    </w:p>
    <w:p w14:paraId="5668928F" w14:textId="77777777" w:rsidR="00550133" w:rsidRPr="004744F1" w:rsidRDefault="00550133" w:rsidP="004744F1">
      <w:pPr>
        <w:pStyle w:val="PargrafodaLista"/>
        <w:numPr>
          <w:ilvl w:val="0"/>
          <w:numId w:val="45"/>
        </w:numPr>
        <w:ind w:left="714" w:hanging="357"/>
        <w:rPr>
          <w:rFonts w:asciiTheme="minorHAnsi" w:hAnsiTheme="minorHAnsi"/>
          <w:lang w:val="pt-PT"/>
        </w:rPr>
      </w:pPr>
      <w:r w:rsidRPr="004744F1">
        <w:rPr>
          <w:rFonts w:asciiTheme="minorHAnsi" w:hAnsiTheme="minorHAnsi"/>
          <w:i/>
          <w:iCs/>
          <w:lang w:val="pt-PT"/>
        </w:rPr>
        <w:t>Negociação e acordo</w:t>
      </w:r>
      <w:r w:rsidRPr="004744F1">
        <w:rPr>
          <w:rFonts w:asciiTheme="minorHAnsi" w:hAnsiTheme="minorHAnsi"/>
          <w:lang w:val="pt-PT"/>
        </w:rPr>
        <w:t xml:space="preserve">: Envolver-se em negociações com as partes interessadas para finalizar a venda. Definir os termos e condições da venda da tecnologia, incluindo a estrutura de pagamento, a transferência de propriedade intelectual, as garantias e o suporte pós-venda, se aplicável. Envolver profissionais da área jurídica para garantir </w:t>
      </w:r>
      <w:r w:rsidRPr="004744F1">
        <w:rPr>
          <w:rFonts w:asciiTheme="minorHAnsi" w:hAnsiTheme="minorHAnsi"/>
          <w:lang w:val="pt-PT"/>
        </w:rPr>
        <w:lastRenderedPageBreak/>
        <w:t>que o acordo de venda seja abrangente, protegendo os interesses de ambas as partes.</w:t>
      </w:r>
    </w:p>
    <w:p w14:paraId="04CB564A" w14:textId="77777777" w:rsidR="00550133" w:rsidRPr="004744F1" w:rsidRDefault="00550133" w:rsidP="004744F1">
      <w:pPr>
        <w:pStyle w:val="PargrafodaLista"/>
        <w:numPr>
          <w:ilvl w:val="0"/>
          <w:numId w:val="45"/>
        </w:numPr>
        <w:ind w:left="714" w:hanging="357"/>
        <w:rPr>
          <w:rFonts w:asciiTheme="minorHAnsi" w:hAnsiTheme="minorHAnsi"/>
          <w:lang w:val="pt-PT"/>
        </w:rPr>
      </w:pPr>
      <w:r w:rsidRPr="004744F1">
        <w:rPr>
          <w:rFonts w:asciiTheme="minorHAnsi" w:hAnsiTheme="minorHAnsi"/>
          <w:i/>
          <w:iCs/>
          <w:lang w:val="pt-PT"/>
        </w:rPr>
        <w:t>Avaliação e fixação de preços</w:t>
      </w:r>
      <w:r w:rsidRPr="004744F1">
        <w:rPr>
          <w:rFonts w:asciiTheme="minorHAnsi" w:hAnsiTheme="minorHAnsi"/>
          <w:lang w:val="pt-PT"/>
        </w:rPr>
        <w:t>: Determinar o valor da tecnologia ou dos direitos de PI com base em fatores como o potencial de mercado, a fase de desenvolvimento, a vantagem competitiva e as projeções de receitas. Definir uma estratégia de preços que seja competitiva e reflita a proposta de valor da tecnologia. Considerar fatores como o pagamento adiantado, royalties ou acordos de partilha de receitas.</w:t>
      </w:r>
    </w:p>
    <w:p w14:paraId="07B9FC4D" w14:textId="77777777" w:rsidR="00550133" w:rsidRPr="004744F1" w:rsidRDefault="00550133" w:rsidP="004744F1">
      <w:pPr>
        <w:pStyle w:val="PargrafodaLista"/>
        <w:numPr>
          <w:ilvl w:val="0"/>
          <w:numId w:val="45"/>
        </w:numPr>
        <w:ind w:left="714" w:hanging="357"/>
        <w:rPr>
          <w:rFonts w:asciiTheme="minorHAnsi" w:hAnsiTheme="minorHAnsi"/>
          <w:lang w:val="pt-PT"/>
        </w:rPr>
      </w:pPr>
      <w:r w:rsidRPr="004744F1">
        <w:rPr>
          <w:rFonts w:asciiTheme="minorHAnsi" w:hAnsiTheme="minorHAnsi"/>
          <w:i/>
          <w:iCs/>
          <w:lang w:val="pt-PT"/>
        </w:rPr>
        <w:t>Transferência de tecnologia e apoio</w:t>
      </w:r>
      <w:r w:rsidRPr="004744F1">
        <w:rPr>
          <w:rFonts w:asciiTheme="minorHAnsi" w:hAnsiTheme="minorHAnsi"/>
          <w:lang w:val="pt-PT"/>
        </w:rPr>
        <w:t xml:space="preserve">: Facilitar a transferência da tecnologia para o comprador. Fornecer qualquer apoio técnico, documentação ou formação necessários para assegurar a adoção e utilização </w:t>
      </w:r>
      <w:proofErr w:type="gramStart"/>
      <w:r w:rsidRPr="004744F1">
        <w:rPr>
          <w:rFonts w:asciiTheme="minorHAnsi" w:hAnsiTheme="minorHAnsi"/>
          <w:lang w:val="pt-PT"/>
        </w:rPr>
        <w:t>bem sucedida</w:t>
      </w:r>
      <w:proofErr w:type="gramEnd"/>
      <w:r w:rsidRPr="004744F1">
        <w:rPr>
          <w:rFonts w:asciiTheme="minorHAnsi" w:hAnsiTheme="minorHAnsi"/>
          <w:lang w:val="pt-PT"/>
        </w:rPr>
        <w:t xml:space="preserve"> da tecnologia por parte do comprador. Definir o âmbito da transferência, serviços de apoio e qualquer assistência contínua necessária para garantir a integração </w:t>
      </w:r>
      <w:proofErr w:type="gramStart"/>
      <w:r w:rsidRPr="004744F1">
        <w:rPr>
          <w:rFonts w:asciiTheme="minorHAnsi" w:hAnsiTheme="minorHAnsi"/>
          <w:lang w:val="pt-PT"/>
        </w:rPr>
        <w:t>bem sucedida</w:t>
      </w:r>
      <w:proofErr w:type="gramEnd"/>
      <w:r w:rsidRPr="004744F1">
        <w:rPr>
          <w:rFonts w:asciiTheme="minorHAnsi" w:hAnsiTheme="minorHAnsi"/>
          <w:lang w:val="pt-PT"/>
        </w:rPr>
        <w:t xml:space="preserve"> da tecnologia nas operações do comprador.</w:t>
      </w:r>
    </w:p>
    <w:p w14:paraId="0510B7EB" w14:textId="77777777" w:rsidR="00550133" w:rsidRPr="004744F1" w:rsidRDefault="00550133" w:rsidP="004744F1">
      <w:pPr>
        <w:pStyle w:val="PargrafodaLista"/>
        <w:numPr>
          <w:ilvl w:val="0"/>
          <w:numId w:val="45"/>
        </w:numPr>
        <w:ind w:left="714" w:hanging="357"/>
        <w:rPr>
          <w:rFonts w:asciiTheme="minorHAnsi" w:hAnsiTheme="minorHAnsi"/>
          <w:lang w:val="pt-PT"/>
        </w:rPr>
      </w:pPr>
      <w:r w:rsidRPr="004744F1">
        <w:rPr>
          <w:rFonts w:asciiTheme="minorHAnsi" w:hAnsiTheme="minorHAnsi"/>
          <w:i/>
          <w:iCs/>
          <w:lang w:val="pt-PT"/>
        </w:rPr>
        <w:t>Conformidade e considerações legais</w:t>
      </w:r>
      <w:r w:rsidRPr="004744F1">
        <w:rPr>
          <w:rFonts w:asciiTheme="minorHAnsi" w:hAnsiTheme="minorHAnsi"/>
          <w:lang w:val="pt-PT"/>
        </w:rPr>
        <w:t>: Assegurar a conformidade com as leis, regulamentos e políticas institucionais relevantes associados à venda de tecnologia. Abordar quaisquer requisitos de licenciamento, regulamentos de controlo de exportação ou considerações sobre direitos de propriedade intelectual. Manter registos e documentação adequados durante todo o processo de transferência de tecnologia.</w:t>
      </w:r>
    </w:p>
    <w:p w14:paraId="6D6C70B6" w14:textId="77777777" w:rsidR="00550133" w:rsidRPr="004744F1" w:rsidRDefault="00550133" w:rsidP="004744F1">
      <w:pPr>
        <w:pStyle w:val="PargrafodaLista"/>
        <w:numPr>
          <w:ilvl w:val="0"/>
          <w:numId w:val="45"/>
        </w:numPr>
        <w:ind w:left="714" w:hanging="357"/>
        <w:rPr>
          <w:rFonts w:asciiTheme="minorHAnsi" w:hAnsiTheme="minorHAnsi"/>
          <w:lang w:val="pt-PT"/>
        </w:rPr>
      </w:pPr>
      <w:r w:rsidRPr="004744F1">
        <w:rPr>
          <w:rFonts w:asciiTheme="minorHAnsi" w:hAnsiTheme="minorHAnsi"/>
          <w:i/>
          <w:iCs/>
          <w:lang w:val="pt-PT"/>
        </w:rPr>
        <w:t>Monitorização pós-venda</w:t>
      </w:r>
      <w:r w:rsidRPr="004744F1">
        <w:rPr>
          <w:rFonts w:asciiTheme="minorHAnsi" w:hAnsiTheme="minorHAnsi"/>
          <w:lang w:val="pt-PT"/>
        </w:rPr>
        <w:t xml:space="preserve">: Monitorizar e avaliar o desempenho da tecnologia e a conformidade do comprador com os termos acordados. Abordar quaisquer questões ou preocupações que possam surgir durante a fase pós-venda. Manter a comunicação com o comprador para garantir uma transferência de tecnologia </w:t>
      </w:r>
      <w:proofErr w:type="gramStart"/>
      <w:r w:rsidRPr="004744F1">
        <w:rPr>
          <w:rFonts w:asciiTheme="minorHAnsi" w:hAnsiTheme="minorHAnsi"/>
          <w:lang w:val="pt-PT"/>
        </w:rPr>
        <w:t>bem sucedida</w:t>
      </w:r>
      <w:proofErr w:type="gramEnd"/>
      <w:r w:rsidRPr="004744F1">
        <w:rPr>
          <w:rFonts w:asciiTheme="minorHAnsi" w:hAnsiTheme="minorHAnsi"/>
          <w:lang w:val="pt-PT"/>
        </w:rPr>
        <w:t xml:space="preserve"> e abordar quaisquer necessidades de apoio.</w:t>
      </w:r>
    </w:p>
    <w:p w14:paraId="742CD4C0" w14:textId="77777777" w:rsidR="00550133" w:rsidRPr="004744F1" w:rsidRDefault="00550133" w:rsidP="004744F1">
      <w:pPr>
        <w:pStyle w:val="PargrafodaLista"/>
        <w:rPr>
          <w:rFonts w:asciiTheme="minorHAnsi" w:hAnsiTheme="minorHAnsi"/>
          <w:lang w:val="pt-PT"/>
        </w:rPr>
      </w:pPr>
    </w:p>
    <w:p w14:paraId="76EAB379" w14:textId="77777777" w:rsidR="00550133" w:rsidRPr="004744F1" w:rsidRDefault="00550133" w:rsidP="004744F1">
      <w:pPr>
        <w:pStyle w:val="PargrafodaLista"/>
        <w:numPr>
          <w:ilvl w:val="0"/>
          <w:numId w:val="44"/>
        </w:numPr>
        <w:rPr>
          <w:rFonts w:asciiTheme="minorHAnsi" w:hAnsiTheme="minorHAnsi"/>
          <w:lang w:val="en-US"/>
        </w:rPr>
      </w:pPr>
      <w:r w:rsidRPr="004744F1">
        <w:rPr>
          <w:rFonts w:asciiTheme="minorHAnsi" w:hAnsiTheme="minorHAnsi"/>
          <w:b/>
          <w:bCs/>
          <w:i/>
          <w:iCs/>
          <w:lang w:val="en-US"/>
        </w:rPr>
        <w:t>Joint ventures</w:t>
      </w:r>
      <w:r w:rsidRPr="004744F1">
        <w:rPr>
          <w:rFonts w:asciiTheme="minorHAnsi" w:hAnsiTheme="minorHAnsi"/>
          <w:b/>
          <w:bCs/>
          <w:lang w:val="en-US"/>
        </w:rPr>
        <w:t xml:space="preserve">: </w:t>
      </w:r>
    </w:p>
    <w:p w14:paraId="24F40E30" w14:textId="77777777" w:rsidR="00550133" w:rsidRPr="004744F1" w:rsidRDefault="00550133" w:rsidP="004744F1">
      <w:pPr>
        <w:ind w:firstLine="0"/>
        <w:rPr>
          <w:rFonts w:asciiTheme="minorHAnsi" w:hAnsiTheme="minorHAnsi"/>
          <w:lang w:val="pt-PT"/>
        </w:rPr>
      </w:pPr>
      <w:r w:rsidRPr="004744F1">
        <w:rPr>
          <w:rFonts w:asciiTheme="minorHAnsi" w:hAnsiTheme="minorHAnsi"/>
          <w:lang w:val="pt-PT"/>
        </w:rPr>
        <w:t xml:space="preserve">As </w:t>
      </w:r>
      <w:proofErr w:type="spellStart"/>
      <w:r w:rsidRPr="004744F1">
        <w:rPr>
          <w:rFonts w:asciiTheme="minorHAnsi" w:hAnsiTheme="minorHAnsi"/>
          <w:i/>
          <w:iCs/>
          <w:lang w:val="pt-PT"/>
        </w:rPr>
        <w:t>joint</w:t>
      </w:r>
      <w:proofErr w:type="spellEnd"/>
      <w:r w:rsidRPr="004744F1">
        <w:rPr>
          <w:rFonts w:asciiTheme="minorHAnsi" w:hAnsiTheme="minorHAnsi"/>
          <w:i/>
          <w:iCs/>
          <w:lang w:val="pt-PT"/>
        </w:rPr>
        <w:t xml:space="preserve"> ventures</w:t>
      </w:r>
      <w:r w:rsidRPr="004744F1">
        <w:rPr>
          <w:rFonts w:asciiTheme="minorHAnsi" w:hAnsiTheme="minorHAnsi"/>
          <w:lang w:val="pt-PT"/>
        </w:rPr>
        <w:t xml:space="preserve"> são uma forma popular de transferência de tecnologia para as IES. Envolvem normalmente duas ou mais entidades que se juntam para reunir recursos, conhecimentos especializados e capital para desenvolver e comercializar uma nova tecnologia ou produto, podendo ser um mecanismo eficaz de, ao potenciar as suas capacidades e competências de investigação, as IES poderem </w:t>
      </w:r>
      <w:proofErr w:type="gramStart"/>
      <w:r w:rsidRPr="004744F1">
        <w:rPr>
          <w:rFonts w:asciiTheme="minorHAnsi" w:hAnsiTheme="minorHAnsi"/>
          <w:lang w:val="pt-PT"/>
        </w:rPr>
        <w:t>criar novas</w:t>
      </w:r>
      <w:proofErr w:type="gramEnd"/>
      <w:r w:rsidRPr="004744F1">
        <w:rPr>
          <w:rFonts w:asciiTheme="minorHAnsi" w:hAnsiTheme="minorHAnsi"/>
          <w:lang w:val="pt-PT"/>
        </w:rPr>
        <w:t xml:space="preserve"> oportunidades de comercialização e de impacto social, cumprindo simultaneamente os seus mandatos de investigação e de ensino. </w:t>
      </w:r>
    </w:p>
    <w:p w14:paraId="41D10A33" w14:textId="77777777" w:rsidR="00550133" w:rsidRPr="004744F1" w:rsidRDefault="00550133" w:rsidP="004744F1">
      <w:pPr>
        <w:ind w:firstLine="0"/>
        <w:rPr>
          <w:rFonts w:asciiTheme="minorHAnsi" w:hAnsiTheme="minorHAnsi"/>
          <w:lang w:val="pt-PT"/>
        </w:rPr>
      </w:pPr>
      <w:r w:rsidRPr="004744F1">
        <w:rPr>
          <w:rFonts w:asciiTheme="minorHAnsi" w:hAnsiTheme="minorHAnsi"/>
          <w:lang w:val="pt-PT"/>
        </w:rPr>
        <w:t>No entanto, as IES devem considerar cuidadosamente as diferentes situações quando se envolvem em empresas comuns:</w:t>
      </w:r>
    </w:p>
    <w:p w14:paraId="0B811A4D" w14:textId="77777777" w:rsidR="00550133" w:rsidRPr="004744F1" w:rsidRDefault="00550133" w:rsidP="004744F1">
      <w:pPr>
        <w:pStyle w:val="PargrafodaLista"/>
        <w:numPr>
          <w:ilvl w:val="0"/>
          <w:numId w:val="43"/>
        </w:numPr>
        <w:ind w:left="714" w:hanging="357"/>
        <w:rPr>
          <w:rFonts w:asciiTheme="minorHAnsi" w:hAnsiTheme="minorHAnsi"/>
          <w:lang w:val="pt-PT"/>
        </w:rPr>
      </w:pPr>
      <w:r w:rsidRPr="004744F1">
        <w:rPr>
          <w:rFonts w:asciiTheme="minorHAnsi" w:hAnsiTheme="minorHAnsi"/>
          <w:i/>
          <w:iCs/>
          <w:lang w:val="pt-PT"/>
        </w:rPr>
        <w:lastRenderedPageBreak/>
        <w:t>Parcerias estratégicas</w:t>
      </w:r>
      <w:r w:rsidRPr="004744F1">
        <w:rPr>
          <w:rFonts w:asciiTheme="minorHAnsi" w:hAnsiTheme="minorHAnsi"/>
          <w:lang w:val="pt-PT"/>
        </w:rPr>
        <w:t>: As empresas comuns podem ser uma forma poderosa de as IES estabelecerem parcerias estratégicas com atores da indústria para desenvolverem e comercializarem as suas tecnologias. As IES podem aproveitar as suas capacidades de investigação e conhecimentos especializados para desenvolver novas tecnologias, enquanto os parceiros da indústria podem fornecer financiamento, conhecimentos de comercialização e acesso ao mercado.</w:t>
      </w:r>
    </w:p>
    <w:p w14:paraId="72DAB24B" w14:textId="77777777" w:rsidR="00550133" w:rsidRPr="004744F1" w:rsidRDefault="00550133" w:rsidP="004744F1">
      <w:pPr>
        <w:pStyle w:val="PargrafodaLista"/>
        <w:numPr>
          <w:ilvl w:val="0"/>
          <w:numId w:val="43"/>
        </w:numPr>
        <w:ind w:left="714" w:hanging="357"/>
        <w:rPr>
          <w:rFonts w:asciiTheme="minorHAnsi" w:hAnsiTheme="minorHAnsi"/>
          <w:lang w:val="pt-PT"/>
        </w:rPr>
      </w:pPr>
      <w:r w:rsidRPr="004744F1">
        <w:rPr>
          <w:rFonts w:asciiTheme="minorHAnsi" w:hAnsiTheme="minorHAnsi"/>
          <w:i/>
          <w:iCs/>
          <w:lang w:val="pt-PT"/>
        </w:rPr>
        <w:t>Licenças e royalties</w:t>
      </w:r>
      <w:r w:rsidRPr="004744F1">
        <w:rPr>
          <w:rFonts w:asciiTheme="minorHAnsi" w:hAnsiTheme="minorHAnsi"/>
          <w:lang w:val="pt-PT"/>
        </w:rPr>
        <w:t>: Os acordos de licenciamento e royalties devem ser negociados entre os parceiros da empresa comum para garantir que ambas as partes recebam uma compensação adequada pelas suas contribuições para a empresa comum. Estes acordos devem definir o âmbito da licença, as taxas de royalties e outras considerações financeiras.</w:t>
      </w:r>
    </w:p>
    <w:p w14:paraId="4AF6DB89" w14:textId="77777777" w:rsidR="00550133" w:rsidRPr="004744F1" w:rsidRDefault="00550133" w:rsidP="004744F1">
      <w:pPr>
        <w:pStyle w:val="PargrafodaLista"/>
        <w:numPr>
          <w:ilvl w:val="0"/>
          <w:numId w:val="43"/>
        </w:numPr>
        <w:ind w:left="714" w:hanging="357"/>
        <w:rPr>
          <w:rFonts w:asciiTheme="minorHAnsi" w:hAnsiTheme="minorHAnsi"/>
          <w:lang w:val="pt-PT"/>
        </w:rPr>
      </w:pPr>
      <w:r w:rsidRPr="004744F1">
        <w:rPr>
          <w:rFonts w:asciiTheme="minorHAnsi" w:hAnsiTheme="minorHAnsi"/>
          <w:i/>
          <w:iCs/>
          <w:lang w:val="pt-PT"/>
        </w:rPr>
        <w:t>Governação e gestão</w:t>
      </w:r>
      <w:r w:rsidRPr="004744F1">
        <w:rPr>
          <w:rFonts w:asciiTheme="minorHAnsi" w:hAnsiTheme="minorHAnsi"/>
          <w:lang w:val="pt-PT"/>
        </w:rPr>
        <w:t>: As empresas comuns exigem estruturas claras de governação e gestão para garantir a proteção dos interesses de ambas as partes. As IES devem estabelecer mecanismos de decisão adequados, como um conselho de administração da empresa comum, e definir as funções e responsabilidades de cada parceiro.</w:t>
      </w:r>
    </w:p>
    <w:p w14:paraId="7B50ED02" w14:textId="77777777" w:rsidR="00550133" w:rsidRPr="004744F1" w:rsidRDefault="00550133" w:rsidP="004744F1">
      <w:pPr>
        <w:pStyle w:val="PargrafodaLista"/>
        <w:numPr>
          <w:ilvl w:val="0"/>
          <w:numId w:val="43"/>
        </w:numPr>
        <w:ind w:left="714" w:hanging="357"/>
        <w:rPr>
          <w:rFonts w:asciiTheme="minorHAnsi" w:hAnsiTheme="minorHAnsi"/>
          <w:lang w:val="pt-PT"/>
        </w:rPr>
      </w:pPr>
      <w:r w:rsidRPr="004744F1">
        <w:rPr>
          <w:rFonts w:asciiTheme="minorHAnsi" w:hAnsiTheme="minorHAnsi"/>
          <w:i/>
          <w:iCs/>
          <w:lang w:val="pt-PT"/>
        </w:rPr>
        <w:t>Afetação de recursos</w:t>
      </w:r>
      <w:r w:rsidRPr="004744F1">
        <w:rPr>
          <w:rFonts w:asciiTheme="minorHAnsi" w:hAnsiTheme="minorHAnsi"/>
          <w:lang w:val="pt-PT"/>
        </w:rPr>
        <w:t>: As IES devem afetar recursos, tais como pessoal, financiamento e instalações de investigação, à empresa comum para garantir o seu êxito. As IES devem assegurar que dispõem de recursos adequados para cumprir os seus compromissos para com a empresa comum e cumprir as suas obrigações em matéria de investigação e ensino.</w:t>
      </w:r>
    </w:p>
    <w:p w14:paraId="6AA1688D" w14:textId="77777777" w:rsidR="00550133" w:rsidRPr="004744F1" w:rsidRDefault="00550133" w:rsidP="004744F1">
      <w:pPr>
        <w:pStyle w:val="PargrafodaLista"/>
        <w:numPr>
          <w:ilvl w:val="0"/>
          <w:numId w:val="43"/>
        </w:numPr>
        <w:ind w:left="714" w:hanging="357"/>
        <w:rPr>
          <w:rFonts w:asciiTheme="minorHAnsi" w:hAnsiTheme="minorHAnsi"/>
          <w:lang w:val="pt-PT"/>
        </w:rPr>
      </w:pPr>
      <w:r w:rsidRPr="004744F1">
        <w:rPr>
          <w:rFonts w:asciiTheme="minorHAnsi" w:hAnsiTheme="minorHAnsi"/>
          <w:i/>
          <w:iCs/>
          <w:lang w:val="pt-PT"/>
        </w:rPr>
        <w:t>Conflito de interesses</w:t>
      </w:r>
      <w:r w:rsidRPr="004744F1">
        <w:rPr>
          <w:rFonts w:asciiTheme="minorHAnsi" w:hAnsiTheme="minorHAnsi"/>
          <w:lang w:val="pt-PT"/>
        </w:rPr>
        <w:t>: As IES devem estar conscientes dos potenciais conflitos de interesses quando participam em empresas comuns. Devem ter políticas e procedimentos para gerir esses conflitos e garantir que as suas atividades de investigação e independência académica não são comprometidas.</w:t>
      </w:r>
    </w:p>
    <w:p w14:paraId="7D0684A7" w14:textId="7625E07C" w:rsidR="00550133" w:rsidRPr="00261575" w:rsidRDefault="00550133" w:rsidP="00261575">
      <w:pPr>
        <w:pStyle w:val="PargrafodaLista"/>
        <w:numPr>
          <w:ilvl w:val="0"/>
          <w:numId w:val="43"/>
        </w:numPr>
        <w:ind w:left="714" w:hanging="357"/>
        <w:rPr>
          <w:rFonts w:asciiTheme="minorHAnsi" w:hAnsiTheme="minorHAnsi"/>
          <w:lang w:val="pt-PT"/>
        </w:rPr>
      </w:pPr>
      <w:r w:rsidRPr="004744F1">
        <w:rPr>
          <w:rFonts w:asciiTheme="minorHAnsi" w:hAnsiTheme="minorHAnsi"/>
          <w:i/>
          <w:iCs/>
          <w:lang w:val="pt-PT"/>
        </w:rPr>
        <w:t>Conformidade e considerações legais</w:t>
      </w:r>
      <w:r w:rsidRPr="004744F1">
        <w:rPr>
          <w:rFonts w:asciiTheme="minorHAnsi" w:hAnsiTheme="minorHAnsi"/>
          <w:lang w:val="pt-PT"/>
        </w:rPr>
        <w:t>: As empresas comuns têm de cumprir a legislação e os regulamentos relevantes que regem a transferência de tecnologia, o direito da concorrência e a propriedade intelectual. As IES devem garantir que as suas atividades de empresas comuns respeitam estes quadros jurídicos.</w:t>
      </w:r>
    </w:p>
    <w:p w14:paraId="6E7D735A" w14:textId="77777777" w:rsidR="00A5373D" w:rsidRPr="004744F1" w:rsidRDefault="00A5373D" w:rsidP="004744F1">
      <w:pPr>
        <w:pStyle w:val="PargrafodaLista"/>
        <w:rPr>
          <w:rFonts w:asciiTheme="minorHAnsi" w:hAnsiTheme="minorHAnsi"/>
          <w:lang w:val="pt-PT"/>
        </w:rPr>
      </w:pPr>
    </w:p>
    <w:p w14:paraId="7E1BF420" w14:textId="77777777" w:rsidR="00550133" w:rsidRPr="004744F1" w:rsidRDefault="00550133" w:rsidP="004744F1">
      <w:pPr>
        <w:pStyle w:val="PargrafodaLista"/>
        <w:numPr>
          <w:ilvl w:val="0"/>
          <w:numId w:val="44"/>
        </w:numPr>
        <w:rPr>
          <w:rFonts w:asciiTheme="minorHAnsi" w:hAnsiTheme="minorHAnsi"/>
          <w:lang w:val="pt-PT"/>
        </w:rPr>
      </w:pPr>
      <w:r w:rsidRPr="004744F1">
        <w:rPr>
          <w:rFonts w:asciiTheme="minorHAnsi" w:hAnsiTheme="minorHAnsi"/>
          <w:b/>
          <w:bCs/>
          <w:lang w:val="pt-PT"/>
        </w:rPr>
        <w:t xml:space="preserve">Parcerias de investigação e desenvolvimento (I&amp;D): </w:t>
      </w:r>
    </w:p>
    <w:p w14:paraId="11715A67" w14:textId="77777777" w:rsidR="00550133" w:rsidRPr="004744F1" w:rsidRDefault="00550133" w:rsidP="004744F1">
      <w:pPr>
        <w:ind w:firstLine="0"/>
        <w:rPr>
          <w:rFonts w:asciiTheme="minorHAnsi" w:hAnsiTheme="minorHAnsi"/>
          <w:lang w:val="pt-PT"/>
        </w:rPr>
      </w:pPr>
      <w:r w:rsidRPr="004744F1">
        <w:rPr>
          <w:rFonts w:asciiTheme="minorHAnsi" w:hAnsiTheme="minorHAnsi"/>
          <w:lang w:val="pt-PT"/>
        </w:rPr>
        <w:t xml:space="preserve">As parcerias de I&amp;D são uma abordagem valiosa para a transferência de tecnologia. Estas parcerias envolvem esforços de colaboração entre as IES e entidades externas, tais como a indústria, agências governamentais ou organizações sem fins lucrativos, para realizar conjuntamente investigação e desenvolver tecnologias inovadoras. Através destas colaborações, as IES podem fazer avançar a sua investigação, acelerar o desenvolvimento </w:t>
      </w:r>
      <w:r w:rsidRPr="004744F1">
        <w:rPr>
          <w:rFonts w:asciiTheme="minorHAnsi" w:hAnsiTheme="minorHAnsi"/>
          <w:lang w:val="pt-PT"/>
        </w:rPr>
        <w:lastRenderedPageBreak/>
        <w:t xml:space="preserve">tecnológico e aumentar a probabilidade de uma comercialização </w:t>
      </w:r>
      <w:proofErr w:type="gramStart"/>
      <w:r w:rsidRPr="004744F1">
        <w:rPr>
          <w:rFonts w:asciiTheme="minorHAnsi" w:hAnsiTheme="minorHAnsi"/>
          <w:lang w:val="pt-PT"/>
        </w:rPr>
        <w:t>bem sucedida</w:t>
      </w:r>
      <w:proofErr w:type="gramEnd"/>
      <w:r w:rsidRPr="004744F1">
        <w:rPr>
          <w:rFonts w:asciiTheme="minorHAnsi" w:hAnsiTheme="minorHAnsi"/>
          <w:lang w:val="pt-PT"/>
        </w:rPr>
        <w:t xml:space="preserve">. As parcerias de I&amp;D podem melhorar as capacidades das IES em matéria de transferência de tecnologia, tirando partido de competências, recursos e conhecimentos de mercado externos. </w:t>
      </w:r>
    </w:p>
    <w:p w14:paraId="44A5CEC0" w14:textId="77777777" w:rsidR="00550133" w:rsidRPr="004744F1" w:rsidRDefault="00550133" w:rsidP="004744F1">
      <w:pPr>
        <w:ind w:firstLine="0"/>
        <w:rPr>
          <w:rFonts w:asciiTheme="minorHAnsi" w:hAnsiTheme="minorHAnsi"/>
          <w:lang w:val="pt-PT"/>
        </w:rPr>
      </w:pPr>
      <w:r w:rsidRPr="004744F1">
        <w:rPr>
          <w:rFonts w:asciiTheme="minorHAnsi" w:hAnsiTheme="minorHAnsi"/>
          <w:lang w:val="pt-PT"/>
        </w:rPr>
        <w:t>A gestão eficaz das parcerias de I&amp;D exige uma atenção especial aos seguintes domínios</w:t>
      </w:r>
    </w:p>
    <w:p w14:paraId="27F97178" w14:textId="77777777" w:rsidR="00550133" w:rsidRPr="004744F1" w:rsidRDefault="00550133" w:rsidP="004744F1">
      <w:pPr>
        <w:pStyle w:val="PargrafodaLista"/>
        <w:numPr>
          <w:ilvl w:val="0"/>
          <w:numId w:val="46"/>
        </w:numPr>
        <w:ind w:left="714" w:hanging="357"/>
        <w:rPr>
          <w:rFonts w:asciiTheme="minorHAnsi" w:hAnsiTheme="minorHAnsi"/>
          <w:lang w:val="pt-PT"/>
        </w:rPr>
      </w:pPr>
      <w:r w:rsidRPr="004744F1">
        <w:rPr>
          <w:rFonts w:asciiTheme="minorHAnsi" w:hAnsiTheme="minorHAnsi"/>
          <w:i/>
          <w:iCs/>
          <w:lang w:val="pt-PT"/>
        </w:rPr>
        <w:t>Objetivos da colaboração</w:t>
      </w:r>
      <w:r w:rsidRPr="004744F1">
        <w:rPr>
          <w:rFonts w:asciiTheme="minorHAnsi" w:hAnsiTheme="minorHAnsi"/>
          <w:lang w:val="pt-PT"/>
        </w:rPr>
        <w:t>: Definir claramente os objetivos e o âmbito da parceria de I&amp;D. Determinar os objetivos comuns, as áreas de investigação e os resultados desejados. Alinhar os objetivos da parceria com os objetivos de transferência de tecnologia da IES e as prioridades estratégicas do parceiro.</w:t>
      </w:r>
    </w:p>
    <w:p w14:paraId="2782DAA4" w14:textId="77777777" w:rsidR="00550133" w:rsidRPr="004744F1" w:rsidRDefault="00550133" w:rsidP="004744F1">
      <w:pPr>
        <w:pStyle w:val="PargrafodaLista"/>
        <w:numPr>
          <w:ilvl w:val="0"/>
          <w:numId w:val="46"/>
        </w:numPr>
        <w:ind w:left="714" w:hanging="357"/>
        <w:rPr>
          <w:rFonts w:asciiTheme="minorHAnsi" w:hAnsiTheme="minorHAnsi"/>
          <w:lang w:val="pt-PT"/>
        </w:rPr>
      </w:pPr>
      <w:r w:rsidRPr="004744F1">
        <w:rPr>
          <w:rFonts w:asciiTheme="minorHAnsi" w:hAnsiTheme="minorHAnsi"/>
          <w:i/>
          <w:iCs/>
          <w:lang w:val="pt-PT"/>
        </w:rPr>
        <w:t>Seleção de parceiros</w:t>
      </w:r>
      <w:r w:rsidRPr="004744F1">
        <w:rPr>
          <w:rFonts w:asciiTheme="minorHAnsi" w:hAnsiTheme="minorHAnsi"/>
          <w:lang w:val="pt-PT"/>
        </w:rPr>
        <w:t xml:space="preserve">: Identificar parceiros adequados que tenham competências, recursos e capacidades complementares para apoiar os esforços de I&amp;D. Considere fatores como a reputação da indústria, o know-how técnico, a estabilidade financeira e os interesses de investigação partilhados. Procure parceiros que tenham um forte compromisso com a transferência de tecnologia e um historial de colaborações </w:t>
      </w:r>
      <w:proofErr w:type="gramStart"/>
      <w:r w:rsidRPr="004744F1">
        <w:rPr>
          <w:rFonts w:asciiTheme="minorHAnsi" w:hAnsiTheme="minorHAnsi"/>
          <w:lang w:val="pt-PT"/>
        </w:rPr>
        <w:t>bem sucedidas</w:t>
      </w:r>
      <w:proofErr w:type="gramEnd"/>
      <w:r w:rsidRPr="004744F1">
        <w:rPr>
          <w:rFonts w:asciiTheme="minorHAnsi" w:hAnsiTheme="minorHAnsi"/>
          <w:lang w:val="pt-PT"/>
        </w:rPr>
        <w:t>.</w:t>
      </w:r>
    </w:p>
    <w:p w14:paraId="620A9B72" w14:textId="77777777" w:rsidR="00550133" w:rsidRPr="004744F1" w:rsidRDefault="00550133" w:rsidP="004744F1">
      <w:pPr>
        <w:pStyle w:val="PargrafodaLista"/>
        <w:numPr>
          <w:ilvl w:val="0"/>
          <w:numId w:val="46"/>
        </w:numPr>
        <w:ind w:left="714" w:hanging="357"/>
        <w:rPr>
          <w:rFonts w:asciiTheme="minorHAnsi" w:hAnsiTheme="minorHAnsi"/>
          <w:lang w:val="pt-PT"/>
        </w:rPr>
      </w:pPr>
      <w:r w:rsidRPr="004744F1">
        <w:rPr>
          <w:rFonts w:asciiTheme="minorHAnsi" w:hAnsiTheme="minorHAnsi"/>
          <w:i/>
          <w:iCs/>
          <w:lang w:val="pt-PT"/>
        </w:rPr>
        <w:t>Partilha de recursos</w:t>
      </w:r>
      <w:r w:rsidRPr="004744F1">
        <w:rPr>
          <w:rFonts w:asciiTheme="minorHAnsi" w:hAnsiTheme="minorHAnsi"/>
          <w:lang w:val="pt-PT"/>
        </w:rPr>
        <w:t>: Definir os recursos com que cada parceiro contribuirá para a parceria de I&amp;D. Isto pode incluir recursos financeiros, instalações de investigação, equipamento, conhecimentos técnicos e acesso a dados ou amostras. Definir claramente as funções e responsabilidades de cada parceiro para garantir uma partilha equitativa dos recursos.</w:t>
      </w:r>
    </w:p>
    <w:p w14:paraId="4BFA4466" w14:textId="77777777" w:rsidR="00550133" w:rsidRPr="004744F1" w:rsidRDefault="00550133" w:rsidP="004744F1">
      <w:pPr>
        <w:pStyle w:val="PargrafodaLista"/>
        <w:numPr>
          <w:ilvl w:val="0"/>
          <w:numId w:val="46"/>
        </w:numPr>
        <w:ind w:left="714" w:hanging="357"/>
        <w:rPr>
          <w:rFonts w:asciiTheme="minorHAnsi" w:hAnsiTheme="minorHAnsi"/>
          <w:lang w:val="pt-PT"/>
        </w:rPr>
      </w:pPr>
      <w:r w:rsidRPr="004744F1">
        <w:rPr>
          <w:rFonts w:asciiTheme="minorHAnsi" w:hAnsiTheme="minorHAnsi"/>
          <w:i/>
          <w:iCs/>
          <w:lang w:val="pt-PT"/>
        </w:rPr>
        <w:t>Gestão de projetos</w:t>
      </w:r>
      <w:r w:rsidRPr="004744F1">
        <w:rPr>
          <w:rFonts w:asciiTheme="minorHAnsi" w:hAnsiTheme="minorHAnsi"/>
          <w:lang w:val="pt-PT"/>
        </w:rPr>
        <w:t>: Estabelecer mecanismos eficazes de gestão de projetos para assegurar uma coordenação, comunicação e responsabilização harmoniosas. Definir os prazos do projeto, as etapas, os resultados e os requisitos de informação. Monitorizar regularmente o progresso, avaliar os resultados e resolver quaisquer problemas que surjam durante a colaboração.</w:t>
      </w:r>
    </w:p>
    <w:p w14:paraId="5B1ECAAE" w14:textId="77777777" w:rsidR="00550133" w:rsidRPr="004744F1" w:rsidRDefault="00550133" w:rsidP="004744F1">
      <w:pPr>
        <w:pStyle w:val="PargrafodaLista"/>
        <w:numPr>
          <w:ilvl w:val="0"/>
          <w:numId w:val="46"/>
        </w:numPr>
        <w:ind w:left="714" w:hanging="357"/>
        <w:rPr>
          <w:rFonts w:asciiTheme="minorHAnsi" w:hAnsiTheme="minorHAnsi"/>
          <w:lang w:val="pt-PT"/>
        </w:rPr>
      </w:pPr>
      <w:r w:rsidRPr="004744F1">
        <w:rPr>
          <w:rFonts w:asciiTheme="minorHAnsi" w:hAnsiTheme="minorHAnsi"/>
          <w:i/>
          <w:iCs/>
          <w:lang w:val="pt-PT"/>
        </w:rPr>
        <w:t>Financiamento e considerações financeiras</w:t>
      </w:r>
      <w:r w:rsidRPr="004744F1">
        <w:rPr>
          <w:rFonts w:asciiTheme="minorHAnsi" w:hAnsiTheme="minorHAnsi"/>
          <w:lang w:val="pt-PT"/>
        </w:rPr>
        <w:t>: Determinar o modelo de financiamento para a parceria de I&amp;D. Explorar oportunidades de financiamento, tais como subsídios governamentais, contribuições da indústria ou apoio filantrópico. Estabelecer acordos financeiros claros, incluindo partilha de custos, mecanismos de reembolso e partilha de receitas de propriedade intelectual.</w:t>
      </w:r>
    </w:p>
    <w:p w14:paraId="475255F1" w14:textId="77777777" w:rsidR="00550133" w:rsidRPr="004744F1" w:rsidRDefault="00550133" w:rsidP="004744F1">
      <w:pPr>
        <w:pStyle w:val="PargrafodaLista"/>
        <w:numPr>
          <w:ilvl w:val="0"/>
          <w:numId w:val="46"/>
        </w:numPr>
        <w:ind w:left="714" w:hanging="357"/>
        <w:rPr>
          <w:rFonts w:asciiTheme="minorHAnsi" w:hAnsiTheme="minorHAnsi"/>
          <w:lang w:val="pt-PT"/>
        </w:rPr>
      </w:pPr>
      <w:r w:rsidRPr="004744F1">
        <w:rPr>
          <w:rFonts w:asciiTheme="minorHAnsi" w:hAnsiTheme="minorHAnsi"/>
          <w:i/>
          <w:iCs/>
          <w:lang w:val="pt-PT"/>
        </w:rPr>
        <w:t>Publicação e divulgação</w:t>
      </w:r>
      <w:r w:rsidRPr="004744F1">
        <w:rPr>
          <w:rFonts w:asciiTheme="minorHAnsi" w:hAnsiTheme="minorHAnsi"/>
          <w:lang w:val="pt-PT"/>
        </w:rPr>
        <w:t>: Estabelecer diretrizes para a publicação e divulgação dos resultados da investigação. Equilibrar a necessidade de divulgação aberta dos conhecimentos com considerações de proteção da propriedade intelectual. Abordar os direitos de publicação, as obrigações de confidencialidade e o calendário das divulgações públicas para maximizar o impacto científico e as oportunidades de comercialização.</w:t>
      </w:r>
    </w:p>
    <w:p w14:paraId="3CB7EB7F" w14:textId="77777777" w:rsidR="00550133" w:rsidRPr="004744F1" w:rsidRDefault="00550133" w:rsidP="004744F1">
      <w:pPr>
        <w:pStyle w:val="PargrafodaLista"/>
        <w:numPr>
          <w:ilvl w:val="0"/>
          <w:numId w:val="46"/>
        </w:numPr>
        <w:ind w:left="714" w:hanging="357"/>
        <w:rPr>
          <w:rFonts w:asciiTheme="minorHAnsi" w:hAnsiTheme="minorHAnsi"/>
          <w:lang w:val="pt-PT"/>
        </w:rPr>
      </w:pPr>
      <w:r w:rsidRPr="004744F1">
        <w:rPr>
          <w:rFonts w:asciiTheme="minorHAnsi" w:hAnsiTheme="minorHAnsi"/>
          <w:i/>
          <w:iCs/>
          <w:lang w:val="pt-PT"/>
        </w:rPr>
        <w:lastRenderedPageBreak/>
        <w:t>Mecanismos de transferência de tecnologia</w:t>
      </w:r>
      <w:r w:rsidRPr="004744F1">
        <w:rPr>
          <w:rFonts w:asciiTheme="minorHAnsi" w:hAnsiTheme="minorHAnsi"/>
          <w:lang w:val="pt-PT"/>
        </w:rPr>
        <w:t xml:space="preserve">: Identificar potenciais vias de transferência de tecnologia numa fase inicial da colaboração. Explorar opções de licenciamento, criação de </w:t>
      </w:r>
      <w:proofErr w:type="spellStart"/>
      <w:r w:rsidRPr="004744F1">
        <w:rPr>
          <w:rFonts w:asciiTheme="minorHAnsi" w:hAnsiTheme="minorHAnsi"/>
          <w:lang w:val="pt-PT"/>
        </w:rPr>
        <w:t>spin-offs</w:t>
      </w:r>
      <w:proofErr w:type="spellEnd"/>
      <w:r w:rsidRPr="004744F1">
        <w:rPr>
          <w:rFonts w:asciiTheme="minorHAnsi" w:hAnsiTheme="minorHAnsi"/>
          <w:lang w:val="pt-PT"/>
        </w:rPr>
        <w:t xml:space="preserve">, </w:t>
      </w:r>
      <w:proofErr w:type="spellStart"/>
      <w:r w:rsidRPr="004744F1">
        <w:rPr>
          <w:rFonts w:asciiTheme="minorHAnsi" w:hAnsiTheme="minorHAnsi"/>
          <w:i/>
          <w:lang w:val="pt-PT"/>
        </w:rPr>
        <w:t>joint</w:t>
      </w:r>
      <w:proofErr w:type="spellEnd"/>
      <w:r w:rsidRPr="004744F1">
        <w:rPr>
          <w:rFonts w:asciiTheme="minorHAnsi" w:hAnsiTheme="minorHAnsi"/>
          <w:i/>
          <w:lang w:val="pt-PT"/>
        </w:rPr>
        <w:t xml:space="preserve"> ventures</w:t>
      </w:r>
      <w:r w:rsidRPr="004744F1">
        <w:rPr>
          <w:rFonts w:asciiTheme="minorHAnsi" w:hAnsiTheme="minorHAnsi"/>
          <w:lang w:val="pt-PT"/>
        </w:rPr>
        <w:t xml:space="preserve"> ou outras estratégias de comercialização. Desenvolver uma abordagem proactiva para identificar e proteger a PI potencialmente valiosa gerada através da parceria.</w:t>
      </w:r>
    </w:p>
    <w:p w14:paraId="76D24505" w14:textId="77777777" w:rsidR="00550133" w:rsidRPr="004744F1" w:rsidRDefault="00550133" w:rsidP="004744F1">
      <w:pPr>
        <w:pStyle w:val="PargrafodaLista"/>
        <w:numPr>
          <w:ilvl w:val="0"/>
          <w:numId w:val="46"/>
        </w:numPr>
        <w:ind w:left="714" w:hanging="357"/>
        <w:rPr>
          <w:rFonts w:asciiTheme="minorHAnsi" w:hAnsiTheme="minorHAnsi"/>
          <w:lang w:val="pt-PT"/>
        </w:rPr>
      </w:pPr>
      <w:r w:rsidRPr="004744F1">
        <w:rPr>
          <w:rFonts w:asciiTheme="minorHAnsi" w:hAnsiTheme="minorHAnsi"/>
          <w:i/>
          <w:iCs/>
          <w:lang w:val="pt-PT"/>
        </w:rPr>
        <w:t>Considerações legais e de conformidade</w:t>
      </w:r>
      <w:r w:rsidRPr="004744F1">
        <w:rPr>
          <w:rFonts w:asciiTheme="minorHAnsi" w:hAnsiTheme="minorHAnsi"/>
          <w:lang w:val="pt-PT"/>
        </w:rPr>
        <w:t>: Cumprir os requisitos legais e regulamentares relevantes para a parceria de I&amp;D. Isto inclui o cumprimento das leis de propriedade intelectual, diretrizes éticas de investigação, regulamentos de controlo de exportações e quaisquer obrigações contratuais associadas à parceria. Assegurar que os acordos apropriados, incluindo acordos de não divulgação e acordos de transferência de materiais, estão em vigor para proteger informações confidenciais e gerir a transferência de materiais.</w:t>
      </w:r>
    </w:p>
    <w:p w14:paraId="7BAEC181" w14:textId="77777777" w:rsidR="00550133" w:rsidRPr="004744F1" w:rsidRDefault="00550133" w:rsidP="004744F1">
      <w:pPr>
        <w:pStyle w:val="PargrafodaLista"/>
        <w:rPr>
          <w:rFonts w:asciiTheme="minorHAnsi" w:hAnsiTheme="minorHAnsi"/>
          <w:lang w:val="pt-PT"/>
        </w:rPr>
      </w:pPr>
    </w:p>
    <w:p w14:paraId="7A427941" w14:textId="77777777" w:rsidR="00550133" w:rsidRPr="004744F1" w:rsidRDefault="00550133" w:rsidP="004744F1">
      <w:pPr>
        <w:pStyle w:val="PargrafodaLista"/>
        <w:numPr>
          <w:ilvl w:val="0"/>
          <w:numId w:val="44"/>
        </w:numPr>
        <w:rPr>
          <w:rFonts w:asciiTheme="minorHAnsi" w:hAnsiTheme="minorHAnsi"/>
          <w:lang w:val="en-US"/>
        </w:rPr>
      </w:pPr>
      <w:r w:rsidRPr="004744F1">
        <w:rPr>
          <w:rFonts w:asciiTheme="minorHAnsi" w:hAnsiTheme="minorHAnsi"/>
          <w:b/>
          <w:bCs/>
          <w:i/>
          <w:iCs/>
          <w:lang w:val="en-US"/>
        </w:rPr>
        <w:t>Spin-offs</w:t>
      </w:r>
      <w:r w:rsidRPr="004744F1">
        <w:rPr>
          <w:rFonts w:asciiTheme="minorHAnsi" w:hAnsiTheme="minorHAnsi"/>
          <w:b/>
          <w:bCs/>
          <w:lang w:val="en-US"/>
        </w:rPr>
        <w:t xml:space="preserve"> e </w:t>
      </w:r>
      <w:r w:rsidRPr="004744F1">
        <w:rPr>
          <w:rFonts w:asciiTheme="minorHAnsi" w:hAnsiTheme="minorHAnsi"/>
          <w:b/>
          <w:bCs/>
          <w:i/>
          <w:iCs/>
          <w:lang w:val="en-US"/>
        </w:rPr>
        <w:t>start-ups</w:t>
      </w:r>
      <w:r w:rsidRPr="004744F1">
        <w:rPr>
          <w:rFonts w:asciiTheme="minorHAnsi" w:hAnsiTheme="minorHAnsi"/>
          <w:b/>
          <w:bCs/>
          <w:lang w:val="en-US"/>
        </w:rPr>
        <w:t xml:space="preserve">: </w:t>
      </w:r>
    </w:p>
    <w:p w14:paraId="6332BB81" w14:textId="77777777" w:rsidR="00550133" w:rsidRPr="004744F1" w:rsidRDefault="00550133" w:rsidP="004744F1">
      <w:pPr>
        <w:ind w:firstLine="0"/>
        <w:rPr>
          <w:rFonts w:asciiTheme="minorHAnsi" w:hAnsiTheme="minorHAnsi"/>
          <w:lang w:val="pt-PT"/>
        </w:rPr>
      </w:pPr>
      <w:r w:rsidRPr="004744F1">
        <w:rPr>
          <w:rFonts w:asciiTheme="minorHAnsi" w:hAnsiTheme="minorHAnsi"/>
          <w:lang w:val="pt-PT"/>
        </w:rPr>
        <w:t xml:space="preserve">Os </w:t>
      </w:r>
      <w:proofErr w:type="spellStart"/>
      <w:r w:rsidRPr="004744F1">
        <w:rPr>
          <w:rFonts w:asciiTheme="minorHAnsi" w:hAnsiTheme="minorHAnsi"/>
          <w:i/>
          <w:iCs/>
          <w:lang w:val="pt-PT"/>
        </w:rPr>
        <w:t>spin-offs</w:t>
      </w:r>
      <w:proofErr w:type="spellEnd"/>
      <w:r w:rsidRPr="004744F1">
        <w:rPr>
          <w:rFonts w:asciiTheme="minorHAnsi" w:hAnsiTheme="minorHAnsi"/>
          <w:lang w:val="pt-PT"/>
        </w:rPr>
        <w:t xml:space="preserve"> e as </w:t>
      </w:r>
      <w:r w:rsidRPr="004744F1">
        <w:rPr>
          <w:rFonts w:asciiTheme="minorHAnsi" w:hAnsiTheme="minorHAnsi"/>
          <w:i/>
          <w:iCs/>
          <w:lang w:val="pt-PT"/>
        </w:rPr>
        <w:t>start-ups</w:t>
      </w:r>
      <w:r w:rsidRPr="004744F1">
        <w:rPr>
          <w:rFonts w:asciiTheme="minorHAnsi" w:hAnsiTheme="minorHAnsi"/>
          <w:lang w:val="pt-PT"/>
        </w:rPr>
        <w:t xml:space="preserve"> envolvem a criação de novas empresas que comercializam a PI e as tecnologias desenvolvidas na IES. As empresas derivadas baseiam-se normalmente na investigação ou em invenções originárias da instituição, enquanto as empresas em fase de arranque podem incluir empreendimentos empresariais mais vastos. As empresas derivadas das IES têm o potencial de traduzir os resultados da investigação em aplicações reais e impacto económico. </w:t>
      </w:r>
    </w:p>
    <w:p w14:paraId="2C503EAC" w14:textId="77777777" w:rsidR="00550133" w:rsidRPr="004744F1" w:rsidRDefault="00550133" w:rsidP="004744F1">
      <w:pPr>
        <w:ind w:firstLine="0"/>
        <w:rPr>
          <w:rFonts w:asciiTheme="minorHAnsi" w:hAnsiTheme="minorHAnsi"/>
          <w:lang w:val="pt-PT"/>
        </w:rPr>
      </w:pPr>
      <w:r w:rsidRPr="004744F1">
        <w:rPr>
          <w:rFonts w:asciiTheme="minorHAnsi" w:hAnsiTheme="minorHAnsi"/>
          <w:lang w:val="pt-PT"/>
        </w:rPr>
        <w:t xml:space="preserve">As IES podem facilitar a criação e o crescimento bem-sucedidos de </w:t>
      </w:r>
      <w:proofErr w:type="spellStart"/>
      <w:r w:rsidRPr="004744F1">
        <w:rPr>
          <w:rFonts w:asciiTheme="minorHAnsi" w:hAnsiTheme="minorHAnsi"/>
          <w:i/>
          <w:iCs/>
          <w:lang w:val="pt-PT"/>
        </w:rPr>
        <w:t>spin-offs</w:t>
      </w:r>
      <w:proofErr w:type="spellEnd"/>
      <w:r w:rsidRPr="004744F1">
        <w:rPr>
          <w:rFonts w:asciiTheme="minorHAnsi" w:hAnsiTheme="minorHAnsi"/>
          <w:lang w:val="pt-PT"/>
        </w:rPr>
        <w:t xml:space="preserve"> e </w:t>
      </w:r>
      <w:r w:rsidRPr="004744F1">
        <w:rPr>
          <w:rFonts w:asciiTheme="minorHAnsi" w:hAnsiTheme="minorHAnsi"/>
          <w:i/>
          <w:iCs/>
          <w:lang w:val="pt-PT"/>
        </w:rPr>
        <w:t>start-ups</w:t>
      </w:r>
      <w:r w:rsidRPr="004744F1">
        <w:rPr>
          <w:rFonts w:asciiTheme="minorHAnsi" w:hAnsiTheme="minorHAnsi"/>
          <w:lang w:val="pt-PT"/>
        </w:rPr>
        <w:t>, promovendo a transferência de tecnologia e a inovação, prestando especial atenção aos seguintes aspetos:</w:t>
      </w:r>
    </w:p>
    <w:p w14:paraId="1D811B29" w14:textId="77777777" w:rsidR="00550133" w:rsidRPr="004744F1" w:rsidRDefault="00550133" w:rsidP="004744F1">
      <w:pPr>
        <w:pStyle w:val="PargrafodaLista"/>
        <w:numPr>
          <w:ilvl w:val="0"/>
          <w:numId w:val="47"/>
        </w:numPr>
        <w:ind w:left="714" w:hanging="357"/>
        <w:rPr>
          <w:rFonts w:asciiTheme="minorHAnsi" w:hAnsiTheme="minorHAnsi"/>
          <w:lang w:val="pt-PT"/>
        </w:rPr>
      </w:pPr>
      <w:r w:rsidRPr="004744F1">
        <w:rPr>
          <w:rFonts w:asciiTheme="minorHAnsi" w:hAnsiTheme="minorHAnsi"/>
          <w:i/>
          <w:iCs/>
          <w:lang w:val="pt-PT"/>
        </w:rPr>
        <w:t>Cultura e apoio ao empreendedorismo</w:t>
      </w:r>
      <w:r w:rsidRPr="004744F1">
        <w:rPr>
          <w:rFonts w:asciiTheme="minorHAnsi" w:hAnsiTheme="minorHAnsi"/>
          <w:lang w:val="pt-PT"/>
        </w:rPr>
        <w:t xml:space="preserve">: Promover uma cultura empreendedora dentro da instituição para encorajar investigadores, professores e estudantes a explorar oportunidades de comercialização. Fornecer recursos, programas de orientação, incubadoras e mecanismos de apoio para facilitar a criação e o crescimento de </w:t>
      </w:r>
      <w:proofErr w:type="spellStart"/>
      <w:r w:rsidRPr="004744F1">
        <w:rPr>
          <w:rFonts w:asciiTheme="minorHAnsi" w:hAnsiTheme="minorHAnsi"/>
          <w:i/>
          <w:iCs/>
          <w:lang w:val="pt-PT"/>
        </w:rPr>
        <w:t>spin-offs</w:t>
      </w:r>
      <w:proofErr w:type="spellEnd"/>
      <w:r w:rsidRPr="004744F1">
        <w:rPr>
          <w:rFonts w:asciiTheme="minorHAnsi" w:hAnsiTheme="minorHAnsi"/>
          <w:lang w:val="pt-PT"/>
        </w:rPr>
        <w:t xml:space="preserve"> e </w:t>
      </w:r>
      <w:r w:rsidRPr="004744F1">
        <w:rPr>
          <w:rFonts w:asciiTheme="minorHAnsi" w:hAnsiTheme="minorHAnsi"/>
          <w:i/>
          <w:iCs/>
          <w:lang w:val="pt-PT"/>
        </w:rPr>
        <w:t>start-ups</w:t>
      </w:r>
      <w:r w:rsidRPr="004744F1">
        <w:rPr>
          <w:rFonts w:asciiTheme="minorHAnsi" w:hAnsiTheme="minorHAnsi"/>
          <w:lang w:val="pt-PT"/>
        </w:rPr>
        <w:t>.</w:t>
      </w:r>
    </w:p>
    <w:p w14:paraId="7CFBC317" w14:textId="77777777" w:rsidR="00550133" w:rsidRPr="004744F1" w:rsidRDefault="00550133" w:rsidP="004744F1">
      <w:pPr>
        <w:pStyle w:val="PargrafodaLista"/>
        <w:numPr>
          <w:ilvl w:val="0"/>
          <w:numId w:val="47"/>
        </w:numPr>
        <w:ind w:left="714" w:hanging="357"/>
        <w:rPr>
          <w:rFonts w:asciiTheme="minorHAnsi" w:hAnsiTheme="minorHAnsi"/>
          <w:lang w:val="pt-PT"/>
        </w:rPr>
      </w:pPr>
      <w:r w:rsidRPr="004744F1">
        <w:rPr>
          <w:rFonts w:asciiTheme="minorHAnsi" w:hAnsiTheme="minorHAnsi"/>
          <w:i/>
          <w:iCs/>
          <w:lang w:val="pt-PT"/>
        </w:rPr>
        <w:t>Identificação de tecnologias</w:t>
      </w:r>
      <w:r w:rsidRPr="004744F1">
        <w:rPr>
          <w:rFonts w:asciiTheme="minorHAnsi" w:hAnsiTheme="minorHAnsi"/>
          <w:lang w:val="pt-PT"/>
        </w:rPr>
        <w:t>: Identificar tecnologias ou invenções promissoras na IES que tenham potencial comercial. Avaliar a sua capacidade de comercialização, vantagem competitiva e viabilidade para a criação de start-ups. Dar prioridade às tecnologias que se alinham com as necessidades do mercado, têm uma forte proteção da propriedade intelectual e demonstram escalabilidade.</w:t>
      </w:r>
    </w:p>
    <w:p w14:paraId="61784955" w14:textId="77777777" w:rsidR="00550133" w:rsidRPr="004744F1" w:rsidRDefault="00550133" w:rsidP="004744F1">
      <w:pPr>
        <w:pStyle w:val="PargrafodaLista"/>
        <w:numPr>
          <w:ilvl w:val="0"/>
          <w:numId w:val="47"/>
        </w:numPr>
        <w:ind w:left="714" w:hanging="357"/>
        <w:rPr>
          <w:rFonts w:asciiTheme="minorHAnsi" w:hAnsiTheme="minorHAnsi"/>
          <w:lang w:val="pt-PT"/>
        </w:rPr>
      </w:pPr>
      <w:r w:rsidRPr="004744F1">
        <w:rPr>
          <w:rFonts w:asciiTheme="minorHAnsi" w:hAnsiTheme="minorHAnsi"/>
          <w:i/>
          <w:iCs/>
          <w:lang w:val="pt-PT"/>
        </w:rPr>
        <w:t>Planeamento empresarial</w:t>
      </w:r>
      <w:r w:rsidRPr="004744F1">
        <w:rPr>
          <w:rFonts w:asciiTheme="minorHAnsi" w:hAnsiTheme="minorHAnsi"/>
          <w:lang w:val="pt-PT"/>
        </w:rPr>
        <w:t xml:space="preserve">: Ajudar os investigadores e empresários a desenvolver planos de negócios abrangentes para as suas empresas derivadas ou em fase de </w:t>
      </w:r>
      <w:r w:rsidRPr="004744F1">
        <w:rPr>
          <w:rFonts w:asciiTheme="minorHAnsi" w:hAnsiTheme="minorHAnsi"/>
          <w:lang w:val="pt-PT"/>
        </w:rPr>
        <w:lastRenderedPageBreak/>
        <w:t>arranque. Isto inclui a definição da proposta de valor, do mercado-alvo, do modelo de receitas, da análise da concorrência e das estratégias de crescimento. Os planos empresariais devem abordar as necessidades de financiamento, as estratégias de entrada no mercado e as medidas de atenuação dos riscos.</w:t>
      </w:r>
    </w:p>
    <w:p w14:paraId="5EA22502" w14:textId="77777777" w:rsidR="00550133" w:rsidRPr="004744F1" w:rsidRDefault="00550133" w:rsidP="004744F1">
      <w:pPr>
        <w:pStyle w:val="PargrafodaLista"/>
        <w:numPr>
          <w:ilvl w:val="0"/>
          <w:numId w:val="47"/>
        </w:numPr>
        <w:ind w:left="714" w:hanging="357"/>
        <w:rPr>
          <w:rFonts w:asciiTheme="minorHAnsi" w:hAnsiTheme="minorHAnsi"/>
          <w:lang w:val="pt-PT"/>
        </w:rPr>
      </w:pPr>
      <w:r w:rsidRPr="004744F1">
        <w:rPr>
          <w:rFonts w:asciiTheme="minorHAnsi" w:hAnsiTheme="minorHAnsi"/>
          <w:i/>
          <w:iCs/>
          <w:lang w:val="pt-PT"/>
        </w:rPr>
        <w:t>Financiamento e investimento</w:t>
      </w:r>
      <w:r w:rsidRPr="004744F1">
        <w:rPr>
          <w:rFonts w:asciiTheme="minorHAnsi" w:hAnsiTheme="minorHAnsi"/>
          <w:lang w:val="pt-PT"/>
        </w:rPr>
        <w:t>: Ajudar as empresas derivadas e as empresas em fase de arranque a obter financiamento para apoiar as suas operações iniciais, investigação e esforços de desenvolvimento. Explorar várias fontes de financiamento, tais como subsídios governamentais, capital de risco, investidores anjos ou parcerias estratégicas. Ajudar os empresários a navegar no panorama do financiamento e a estabelecer contactos com potenciais investidores.</w:t>
      </w:r>
    </w:p>
    <w:p w14:paraId="0D72A37C" w14:textId="77777777" w:rsidR="00550133" w:rsidRPr="004744F1" w:rsidRDefault="00550133" w:rsidP="004744F1">
      <w:pPr>
        <w:pStyle w:val="PargrafodaLista"/>
        <w:numPr>
          <w:ilvl w:val="0"/>
          <w:numId w:val="47"/>
        </w:numPr>
        <w:ind w:left="714" w:hanging="357"/>
        <w:rPr>
          <w:rFonts w:asciiTheme="minorHAnsi" w:hAnsiTheme="minorHAnsi"/>
          <w:lang w:val="pt-PT"/>
        </w:rPr>
      </w:pPr>
      <w:r w:rsidRPr="004744F1">
        <w:rPr>
          <w:rFonts w:asciiTheme="minorHAnsi" w:hAnsiTheme="minorHAnsi"/>
          <w:i/>
          <w:iCs/>
          <w:lang w:val="pt-PT"/>
        </w:rPr>
        <w:t>Gestão e criação de equipas</w:t>
      </w:r>
      <w:r w:rsidRPr="004744F1">
        <w:rPr>
          <w:rFonts w:asciiTheme="minorHAnsi" w:hAnsiTheme="minorHAnsi"/>
          <w:lang w:val="pt-PT"/>
        </w:rPr>
        <w:t>: Apoiar o recrutamento e o desenvolvimento de equipas de gestão competentes para as empresas derivadas e as empresas em fase de arranque. Ajudar a reunir executivos, conselheiros e mentores experientes que possam contribuir para o crescimento e o sucesso da empresa. Incentivar a colaboração entre a equipa empresarial e os investigadores para colmatar o fosso entre os conhecimentos técnicos e a perspicácia empresarial.</w:t>
      </w:r>
    </w:p>
    <w:p w14:paraId="01F672CA" w14:textId="77777777" w:rsidR="00550133" w:rsidRPr="004744F1" w:rsidRDefault="00550133" w:rsidP="004744F1">
      <w:pPr>
        <w:pStyle w:val="PargrafodaLista"/>
        <w:numPr>
          <w:ilvl w:val="0"/>
          <w:numId w:val="47"/>
        </w:numPr>
        <w:ind w:left="714" w:hanging="357"/>
        <w:rPr>
          <w:rFonts w:asciiTheme="minorHAnsi" w:hAnsiTheme="minorHAnsi"/>
          <w:lang w:val="pt-PT"/>
        </w:rPr>
      </w:pPr>
      <w:r w:rsidRPr="004744F1">
        <w:rPr>
          <w:rFonts w:asciiTheme="minorHAnsi" w:hAnsiTheme="minorHAnsi"/>
          <w:i/>
          <w:iCs/>
          <w:lang w:val="pt-PT"/>
        </w:rPr>
        <w:t>Incubação e serviços de apoio</w:t>
      </w:r>
      <w:r w:rsidRPr="004744F1">
        <w:rPr>
          <w:rFonts w:asciiTheme="minorHAnsi" w:hAnsiTheme="minorHAnsi"/>
          <w:lang w:val="pt-PT"/>
        </w:rPr>
        <w:t xml:space="preserve">: Fornecer programas de incubação e serviços de apoio para ajudar os </w:t>
      </w:r>
      <w:proofErr w:type="spellStart"/>
      <w:r w:rsidRPr="004744F1">
        <w:rPr>
          <w:rFonts w:asciiTheme="minorHAnsi" w:hAnsiTheme="minorHAnsi"/>
          <w:i/>
          <w:iCs/>
          <w:lang w:val="pt-PT"/>
        </w:rPr>
        <w:t>spin-offs</w:t>
      </w:r>
      <w:proofErr w:type="spellEnd"/>
      <w:r w:rsidRPr="004744F1">
        <w:rPr>
          <w:rFonts w:asciiTheme="minorHAnsi" w:hAnsiTheme="minorHAnsi"/>
          <w:lang w:val="pt-PT"/>
        </w:rPr>
        <w:t xml:space="preserve"> e as empresas em fase de arranque a estabelecer as suas operações. Ofereça acesso a instalações partilhadas, laboratórios, espaço de escritório, programas de orientação, apoio ao desenvolvimento empresarial, serviços jurídicos e contabilísticos e oportunidades de criação de redes.</w:t>
      </w:r>
    </w:p>
    <w:p w14:paraId="669E5F56" w14:textId="77777777" w:rsidR="00550133" w:rsidRPr="004744F1" w:rsidRDefault="00550133" w:rsidP="004744F1">
      <w:pPr>
        <w:pStyle w:val="PargrafodaLista"/>
        <w:numPr>
          <w:ilvl w:val="0"/>
          <w:numId w:val="47"/>
        </w:numPr>
        <w:ind w:left="714" w:hanging="357"/>
        <w:rPr>
          <w:rFonts w:asciiTheme="minorHAnsi" w:hAnsiTheme="minorHAnsi"/>
          <w:lang w:val="pt-PT"/>
        </w:rPr>
      </w:pPr>
      <w:r w:rsidRPr="004744F1">
        <w:rPr>
          <w:rFonts w:asciiTheme="minorHAnsi" w:hAnsiTheme="minorHAnsi"/>
          <w:i/>
          <w:iCs/>
          <w:lang w:val="pt-PT"/>
        </w:rPr>
        <w:t>Colaboração e parcerias</w:t>
      </w:r>
      <w:r w:rsidRPr="004744F1">
        <w:rPr>
          <w:rFonts w:asciiTheme="minorHAnsi" w:hAnsiTheme="minorHAnsi"/>
          <w:lang w:val="pt-PT"/>
        </w:rPr>
        <w:t xml:space="preserve">: Promover colaborações entre os </w:t>
      </w:r>
      <w:proofErr w:type="spellStart"/>
      <w:r w:rsidRPr="004744F1">
        <w:rPr>
          <w:rFonts w:asciiTheme="minorHAnsi" w:hAnsiTheme="minorHAnsi"/>
          <w:i/>
          <w:iCs/>
          <w:lang w:val="pt-PT"/>
        </w:rPr>
        <w:t>spin-offs</w:t>
      </w:r>
      <w:proofErr w:type="spellEnd"/>
      <w:r w:rsidRPr="004744F1">
        <w:rPr>
          <w:rFonts w:asciiTheme="minorHAnsi" w:hAnsiTheme="minorHAnsi"/>
          <w:lang w:val="pt-PT"/>
        </w:rPr>
        <w:t>, as start-ups e as IES. Incentivar os investigadores a manter ligações com os seus homólogos académicos, facilitando a troca de conhecimentos e potenciais oportunidades de colaboração. Explorar parcerias estratégicas entre a instituição e as empresas para potenciar a experiência, os recursos e as ligações ao sector.</w:t>
      </w:r>
    </w:p>
    <w:p w14:paraId="64BC49AC" w14:textId="77777777" w:rsidR="00550133" w:rsidRPr="004744F1" w:rsidRDefault="00550133" w:rsidP="004744F1">
      <w:pPr>
        <w:pStyle w:val="PargrafodaLista"/>
        <w:numPr>
          <w:ilvl w:val="0"/>
          <w:numId w:val="47"/>
        </w:numPr>
        <w:ind w:left="714" w:hanging="357"/>
        <w:rPr>
          <w:rFonts w:asciiTheme="minorHAnsi" w:hAnsiTheme="minorHAnsi"/>
          <w:lang w:val="pt-PT"/>
        </w:rPr>
      </w:pPr>
      <w:r w:rsidRPr="004744F1">
        <w:rPr>
          <w:rFonts w:asciiTheme="minorHAnsi" w:hAnsiTheme="minorHAnsi"/>
          <w:i/>
          <w:iCs/>
          <w:lang w:val="pt-PT"/>
        </w:rPr>
        <w:t>Acompanhamento e apoio</w:t>
      </w:r>
      <w:r w:rsidRPr="004744F1">
        <w:rPr>
          <w:rFonts w:asciiTheme="minorHAnsi" w:hAnsiTheme="minorHAnsi"/>
          <w:lang w:val="pt-PT"/>
        </w:rPr>
        <w:t xml:space="preserve">: Monitorizar e apoiar continuamente o progresso e o crescimento dos </w:t>
      </w:r>
      <w:proofErr w:type="spellStart"/>
      <w:r w:rsidRPr="004744F1">
        <w:rPr>
          <w:rFonts w:asciiTheme="minorHAnsi" w:hAnsiTheme="minorHAnsi"/>
          <w:i/>
          <w:iCs/>
          <w:lang w:val="pt-PT"/>
        </w:rPr>
        <w:t>spin-offs</w:t>
      </w:r>
      <w:proofErr w:type="spellEnd"/>
      <w:r w:rsidRPr="004744F1">
        <w:rPr>
          <w:rFonts w:asciiTheme="minorHAnsi" w:hAnsiTheme="minorHAnsi"/>
          <w:lang w:val="pt-PT"/>
        </w:rPr>
        <w:t xml:space="preserve"> e das start-ups. Fornecer mentoria, orientação e serviços de apoio empresarial contínuos para ajudar a enfrentar os desafios e a aproveitar as oportunidades. Oferecer acesso a uma rede de especialistas e contactos industriais para ajudar na penetração no mercado e no desenvolvimento empresarial.</w:t>
      </w:r>
    </w:p>
    <w:p w14:paraId="26633DC0" w14:textId="77777777" w:rsidR="00550133" w:rsidRDefault="00550133" w:rsidP="004744F1">
      <w:pPr>
        <w:pStyle w:val="PargrafodaLista"/>
        <w:rPr>
          <w:rFonts w:asciiTheme="minorHAnsi" w:hAnsiTheme="minorHAnsi"/>
          <w:lang w:val="pt-PT"/>
        </w:rPr>
      </w:pPr>
    </w:p>
    <w:p w14:paraId="7BCB1809" w14:textId="77777777" w:rsidR="00261575" w:rsidRDefault="00261575" w:rsidP="004744F1">
      <w:pPr>
        <w:pStyle w:val="PargrafodaLista"/>
        <w:rPr>
          <w:rFonts w:asciiTheme="minorHAnsi" w:hAnsiTheme="minorHAnsi"/>
          <w:lang w:val="pt-PT"/>
        </w:rPr>
      </w:pPr>
    </w:p>
    <w:p w14:paraId="1857E7B5" w14:textId="77777777" w:rsidR="00261575" w:rsidRPr="004744F1" w:rsidRDefault="00261575" w:rsidP="004744F1">
      <w:pPr>
        <w:pStyle w:val="PargrafodaLista"/>
        <w:rPr>
          <w:rFonts w:asciiTheme="minorHAnsi" w:hAnsiTheme="minorHAnsi"/>
          <w:lang w:val="pt-PT"/>
        </w:rPr>
      </w:pPr>
    </w:p>
    <w:p w14:paraId="4844C8AA" w14:textId="77777777" w:rsidR="00550133" w:rsidRPr="004744F1" w:rsidRDefault="00550133" w:rsidP="004744F1">
      <w:pPr>
        <w:pStyle w:val="PargrafodaLista"/>
        <w:numPr>
          <w:ilvl w:val="0"/>
          <w:numId w:val="44"/>
        </w:numPr>
        <w:rPr>
          <w:rFonts w:asciiTheme="minorHAnsi" w:hAnsiTheme="minorHAnsi"/>
          <w:lang w:val="pt-PT"/>
        </w:rPr>
      </w:pPr>
      <w:r w:rsidRPr="004744F1">
        <w:rPr>
          <w:rFonts w:asciiTheme="minorHAnsi" w:hAnsiTheme="minorHAnsi"/>
          <w:b/>
          <w:bCs/>
          <w:lang w:val="pt-PT"/>
        </w:rPr>
        <w:lastRenderedPageBreak/>
        <w:t xml:space="preserve">Trabalho de consultoria pelo pessoal das IES e intercâmbio de pessoal entre as instituições e a indústria: </w:t>
      </w:r>
    </w:p>
    <w:p w14:paraId="11D2FA67" w14:textId="77777777" w:rsidR="00550133" w:rsidRPr="004744F1" w:rsidRDefault="00550133" w:rsidP="004744F1">
      <w:pPr>
        <w:ind w:firstLine="0"/>
        <w:rPr>
          <w:rFonts w:asciiTheme="minorHAnsi" w:hAnsiTheme="minorHAnsi"/>
          <w:lang w:val="pt-PT"/>
        </w:rPr>
      </w:pPr>
      <w:r w:rsidRPr="004744F1">
        <w:rPr>
          <w:rFonts w:asciiTheme="minorHAnsi" w:hAnsiTheme="minorHAnsi"/>
          <w:lang w:val="pt-PT"/>
        </w:rPr>
        <w:t>O pessoal experiente pode fornecer uma vasta gama de serviços e conhecimentos especializados à indústria e a projetos governamentais, fornecendo soluções para problemas do mundo real. Entre outros:</w:t>
      </w:r>
    </w:p>
    <w:p w14:paraId="65DCF052" w14:textId="77777777" w:rsidR="00550133" w:rsidRPr="004744F1" w:rsidRDefault="00550133" w:rsidP="004744F1">
      <w:pPr>
        <w:pStyle w:val="PargrafodaLista"/>
        <w:numPr>
          <w:ilvl w:val="0"/>
          <w:numId w:val="40"/>
        </w:numPr>
        <w:ind w:left="426" w:hanging="357"/>
        <w:rPr>
          <w:rFonts w:asciiTheme="minorHAnsi" w:hAnsiTheme="minorHAnsi"/>
          <w:lang w:val="pt-PT"/>
        </w:rPr>
      </w:pPr>
      <w:r w:rsidRPr="004744F1">
        <w:rPr>
          <w:rFonts w:asciiTheme="minorHAnsi" w:hAnsiTheme="minorHAnsi"/>
          <w:lang w:val="pt-PT"/>
        </w:rPr>
        <w:t>Competências técnicas e científicas</w:t>
      </w:r>
    </w:p>
    <w:p w14:paraId="67FC6EC0" w14:textId="77777777" w:rsidR="00550133" w:rsidRPr="004744F1" w:rsidRDefault="00550133" w:rsidP="004744F1">
      <w:pPr>
        <w:pStyle w:val="PargrafodaLista"/>
        <w:numPr>
          <w:ilvl w:val="0"/>
          <w:numId w:val="40"/>
        </w:numPr>
        <w:ind w:left="426" w:hanging="357"/>
        <w:rPr>
          <w:rFonts w:asciiTheme="minorHAnsi" w:hAnsiTheme="minorHAnsi"/>
          <w:lang w:val="pt-PT"/>
        </w:rPr>
      </w:pPr>
      <w:r w:rsidRPr="004744F1">
        <w:rPr>
          <w:rFonts w:asciiTheme="minorHAnsi" w:hAnsiTheme="minorHAnsi"/>
          <w:lang w:val="pt-PT"/>
        </w:rPr>
        <w:t>Identificação, avaliação e comercialização da propriedade intelectual</w:t>
      </w:r>
    </w:p>
    <w:p w14:paraId="5A31AA58" w14:textId="77777777" w:rsidR="00550133" w:rsidRPr="004744F1" w:rsidRDefault="00550133" w:rsidP="004744F1">
      <w:pPr>
        <w:pStyle w:val="PargrafodaLista"/>
        <w:numPr>
          <w:ilvl w:val="0"/>
          <w:numId w:val="40"/>
        </w:numPr>
        <w:ind w:left="426" w:hanging="357"/>
        <w:rPr>
          <w:rFonts w:asciiTheme="minorHAnsi" w:hAnsiTheme="minorHAnsi"/>
          <w:lang w:val="pt-PT"/>
        </w:rPr>
      </w:pPr>
      <w:r w:rsidRPr="004744F1">
        <w:rPr>
          <w:rFonts w:asciiTheme="minorHAnsi" w:hAnsiTheme="minorHAnsi"/>
          <w:lang w:val="pt-PT"/>
        </w:rPr>
        <w:t>Desenvolvimento de negócios e especialização em comercialização para ajudar as empresas a introduzir novos produtos ou serviços no mercado. Isto pode envolver estudos de mercado, desenvolvimento de produtos, preços e estratégias de distribuição.</w:t>
      </w:r>
    </w:p>
    <w:p w14:paraId="3E60CFB4" w14:textId="77777777" w:rsidR="00550133" w:rsidRPr="004744F1" w:rsidRDefault="00550133" w:rsidP="004744F1">
      <w:pPr>
        <w:pStyle w:val="PargrafodaLista"/>
        <w:numPr>
          <w:ilvl w:val="0"/>
          <w:numId w:val="40"/>
        </w:numPr>
        <w:ind w:left="426" w:hanging="357"/>
        <w:rPr>
          <w:rFonts w:asciiTheme="minorHAnsi" w:hAnsiTheme="minorHAnsi"/>
          <w:lang w:val="pt-PT"/>
        </w:rPr>
      </w:pPr>
      <w:r w:rsidRPr="004744F1">
        <w:rPr>
          <w:rFonts w:asciiTheme="minorHAnsi" w:hAnsiTheme="minorHAnsi"/>
          <w:lang w:val="pt-PT"/>
        </w:rPr>
        <w:t>Experiência em conformidade regulamentar, assegurando que os projetos industriais e governamentais cumprem os requisitos legais e éticos. Isto pode incluir o cumprimento de regulamentos ambientais, requisitos de saúde e segurança e regulamentos de proteção de dados.</w:t>
      </w:r>
    </w:p>
    <w:p w14:paraId="230D0F26" w14:textId="77777777" w:rsidR="00550133" w:rsidRPr="004744F1" w:rsidRDefault="00550133" w:rsidP="004744F1">
      <w:pPr>
        <w:pStyle w:val="PargrafodaLista"/>
        <w:numPr>
          <w:ilvl w:val="0"/>
          <w:numId w:val="40"/>
        </w:numPr>
        <w:ind w:left="426" w:hanging="357"/>
        <w:rPr>
          <w:rFonts w:asciiTheme="minorHAnsi" w:hAnsiTheme="minorHAnsi"/>
          <w:lang w:val="pt-PT"/>
        </w:rPr>
      </w:pPr>
      <w:r w:rsidRPr="004744F1">
        <w:rPr>
          <w:rFonts w:asciiTheme="minorHAnsi" w:hAnsiTheme="minorHAnsi"/>
          <w:lang w:val="pt-PT"/>
        </w:rPr>
        <w:t>Programas de formação e educação para profissionais da indústria e da administração pública numa vasta gama de temas, promovendo a transferência de conhecimentos e a inovação.</w:t>
      </w:r>
    </w:p>
    <w:p w14:paraId="470AE7B7" w14:textId="77777777" w:rsidR="00550133" w:rsidRPr="004744F1" w:rsidRDefault="00550133" w:rsidP="004744F1">
      <w:pPr>
        <w:ind w:firstLine="0"/>
        <w:rPr>
          <w:rFonts w:asciiTheme="minorHAnsi" w:hAnsiTheme="minorHAnsi"/>
          <w:lang w:val="pt-PT"/>
        </w:rPr>
      </w:pPr>
    </w:p>
    <w:p w14:paraId="08683931" w14:textId="77777777" w:rsidR="00550133" w:rsidRPr="004744F1" w:rsidRDefault="00550133" w:rsidP="004744F1">
      <w:pPr>
        <w:ind w:firstLine="0"/>
        <w:rPr>
          <w:rFonts w:asciiTheme="minorHAnsi" w:hAnsiTheme="minorHAnsi"/>
          <w:lang w:val="pt-PT"/>
        </w:rPr>
      </w:pPr>
      <w:r w:rsidRPr="004744F1">
        <w:rPr>
          <w:rFonts w:asciiTheme="minorHAnsi" w:hAnsiTheme="minorHAnsi"/>
          <w:lang w:val="pt-PT"/>
        </w:rPr>
        <w:t>Cada modo de transferência de tecnologia tem as suas próprias vantagens e desvantagens, e a melhor abordagem dependerá dos objetivos e circunstâncias específicos das organizações envolvidas.</w:t>
      </w:r>
    </w:p>
    <w:p w14:paraId="72A9BE43" w14:textId="77777777" w:rsidR="00550133" w:rsidRPr="00FF7074" w:rsidRDefault="00550133" w:rsidP="2D5C803A">
      <w:pPr>
        <w:spacing w:after="160"/>
        <w:ind w:firstLine="0"/>
        <w:rPr>
          <w:rFonts w:eastAsia="Verdana" w:cs="Verdana"/>
          <w:color w:val="000000"/>
          <w:lang w:val="pt-PT"/>
        </w:rPr>
      </w:pPr>
    </w:p>
    <w:p w14:paraId="31A9B35F" w14:textId="5DC8DCC4" w:rsidR="4C528AD0" w:rsidRPr="00FF7074" w:rsidRDefault="4C528AD0" w:rsidP="4C528AD0">
      <w:pPr>
        <w:ind w:firstLine="0"/>
        <w:rPr>
          <w:lang w:val="pt-PT"/>
        </w:rPr>
      </w:pPr>
    </w:p>
    <w:p w14:paraId="0CFDB296" w14:textId="18AE07FD" w:rsidR="002335B3" w:rsidRPr="00FF7074" w:rsidRDefault="002335B3" w:rsidP="00634035">
      <w:pPr>
        <w:suppressAutoHyphens/>
        <w:ind w:firstLine="0"/>
        <w:rPr>
          <w:lang w:val="pt-PT"/>
        </w:rPr>
      </w:pPr>
      <w:r w:rsidRPr="00FF7074">
        <w:rPr>
          <w:lang w:val="pt-PT"/>
        </w:rPr>
        <w:br w:type="page"/>
      </w:r>
    </w:p>
    <w:p w14:paraId="7BB8DAA9" w14:textId="1639A73E" w:rsidR="002335B3" w:rsidRPr="00FF7074" w:rsidRDefault="002335B3" w:rsidP="00777FFE">
      <w:pPr>
        <w:pStyle w:val="Ttulo1"/>
        <w:numPr>
          <w:ilvl w:val="0"/>
          <w:numId w:val="0"/>
        </w:numPr>
      </w:pPr>
      <w:bookmarkStart w:id="61" w:name="_Toc100752058"/>
      <w:bookmarkStart w:id="62" w:name="_Toc138420955"/>
      <w:r w:rsidRPr="00FF7074">
        <w:lastRenderedPageBreak/>
        <w:t xml:space="preserve">ANNEX I: </w:t>
      </w:r>
      <w:r w:rsidR="00B6182B" w:rsidRPr="00FF7074">
        <w:t>FONTES E REFERÊNCIAS BIBLIOGRÁFICAS</w:t>
      </w:r>
      <w:bookmarkEnd w:id="61"/>
      <w:bookmarkEnd w:id="62"/>
    </w:p>
    <w:p w14:paraId="6E23F902" w14:textId="77777777" w:rsidR="003D1765" w:rsidRPr="00795637" w:rsidRDefault="003D1765" w:rsidP="003D1765">
      <w:pPr>
        <w:spacing w:before="0" w:after="160"/>
        <w:rPr>
          <w:rFonts w:eastAsia="Verdana" w:cs="Verdana"/>
          <w:lang w:val="pt-PT"/>
        </w:rPr>
      </w:pPr>
      <w:r w:rsidRPr="00441B43">
        <w:rPr>
          <w:rFonts w:eastAsia="Verdana" w:cs="Verdana"/>
          <w:lang w:val="en-GB"/>
        </w:rPr>
        <w:t xml:space="preserve">DISSEL, M. et al. </w:t>
      </w:r>
      <w:r w:rsidRPr="00441B43">
        <w:rPr>
          <w:rFonts w:eastAsia="Verdana" w:cs="Verdana"/>
          <w:b/>
          <w:bCs/>
          <w:lang w:val="en-GB"/>
        </w:rPr>
        <w:t xml:space="preserve">Evaluating </w:t>
      </w:r>
      <w:proofErr w:type="gramStart"/>
      <w:r w:rsidRPr="00441B43">
        <w:rPr>
          <w:rFonts w:eastAsia="Verdana" w:cs="Verdana"/>
          <w:b/>
          <w:bCs/>
          <w:lang w:val="en-GB"/>
        </w:rPr>
        <w:t>early stage</w:t>
      </w:r>
      <w:proofErr w:type="gramEnd"/>
      <w:r w:rsidRPr="00441B43">
        <w:rPr>
          <w:rFonts w:eastAsia="Verdana" w:cs="Verdana"/>
          <w:b/>
          <w:bCs/>
          <w:lang w:val="en-GB"/>
        </w:rPr>
        <w:t xml:space="preserve"> technology valuation methods; what is available and what really matters</w:t>
      </w:r>
      <w:r w:rsidRPr="00441B43">
        <w:rPr>
          <w:rFonts w:eastAsia="Verdana" w:cs="Verdana"/>
          <w:lang w:val="en-GB"/>
        </w:rPr>
        <w:t xml:space="preserve">. Proceedings. 2005 IEEE International Engineering Management Conference, 2005. </w:t>
      </w:r>
      <w:r w:rsidRPr="00441B43">
        <w:rPr>
          <w:rFonts w:eastAsia="Verdana" w:cs="Verdana"/>
          <w:b/>
          <w:bCs/>
          <w:lang w:val="en-GB"/>
        </w:rPr>
        <w:t>Anais</w:t>
      </w:r>
      <w:r w:rsidRPr="00441B43">
        <w:rPr>
          <w:rFonts w:eastAsia="Verdana" w:cs="Verdana"/>
          <w:lang w:val="en-GB"/>
        </w:rPr>
        <w:t xml:space="preserve">...IEEE, 2005. </w:t>
      </w:r>
      <w:proofErr w:type="spellStart"/>
      <w:r w:rsidRPr="00441B43">
        <w:rPr>
          <w:rFonts w:eastAsia="Verdana" w:cs="Verdana"/>
          <w:lang w:val="en-GB"/>
        </w:rPr>
        <w:t>Disponível</w:t>
      </w:r>
      <w:proofErr w:type="spellEnd"/>
      <w:r w:rsidRPr="00441B43">
        <w:rPr>
          <w:rFonts w:eastAsia="Verdana" w:cs="Verdana"/>
          <w:lang w:val="en-GB"/>
        </w:rPr>
        <w:t xml:space="preserve"> </w:t>
      </w:r>
      <w:proofErr w:type="spellStart"/>
      <w:r w:rsidRPr="00441B43">
        <w:rPr>
          <w:rFonts w:eastAsia="Verdana" w:cs="Verdana"/>
          <w:lang w:val="en-GB"/>
        </w:rPr>
        <w:t>em</w:t>
      </w:r>
      <w:proofErr w:type="spellEnd"/>
      <w:r w:rsidRPr="00441B43">
        <w:rPr>
          <w:rFonts w:eastAsia="Verdana" w:cs="Verdana"/>
          <w:lang w:val="en-GB"/>
        </w:rPr>
        <w:t xml:space="preserve">: &lt;http://ieeexplore.ieee.org/xpls/abs_all.jsp?arnumber=1559140&gt;. </w:t>
      </w:r>
      <w:r w:rsidRPr="00795637">
        <w:rPr>
          <w:rFonts w:eastAsia="Verdana" w:cs="Verdana"/>
          <w:lang w:val="pt-PT"/>
        </w:rPr>
        <w:t>Data de acesso: 15 jun. 2023</w:t>
      </w:r>
    </w:p>
    <w:p w14:paraId="6F289769" w14:textId="77777777" w:rsidR="007B74EB" w:rsidRPr="00FF7074" w:rsidRDefault="007B74EB" w:rsidP="00041113">
      <w:pPr>
        <w:spacing w:before="240" w:line="288" w:lineRule="auto"/>
        <w:rPr>
          <w:rFonts w:eastAsia="Verdana" w:cs="Verdana"/>
          <w:lang w:val="pt-PT"/>
        </w:rPr>
      </w:pPr>
      <w:r w:rsidRPr="00FF7074">
        <w:rPr>
          <w:rFonts w:eastAsia="Verdana" w:cs="Verdana"/>
          <w:lang w:val="pt-PT"/>
        </w:rPr>
        <w:t>GAMA, Rui; FERNANDES, Ricardo. Políticas públicas de inovação em Portugal – uma análise do QREN. Universidade de Coimbra. Disponível em &lt; https://core.ac.uk/download/pdf/19133059.pdf&gt; Data de acesso: 26 de maio de 2023.</w:t>
      </w:r>
    </w:p>
    <w:p w14:paraId="03457F99" w14:textId="77777777" w:rsidR="007B74EB" w:rsidRPr="00441B43" w:rsidRDefault="007B74EB" w:rsidP="00041113">
      <w:pPr>
        <w:spacing w:before="240" w:line="288" w:lineRule="auto"/>
        <w:rPr>
          <w:rFonts w:eastAsia="Verdana" w:cs="Verdana"/>
          <w:lang w:val="en-GB"/>
        </w:rPr>
      </w:pPr>
      <w:r w:rsidRPr="00441B43">
        <w:rPr>
          <w:rFonts w:eastAsia="Verdana" w:cs="Verdana"/>
          <w:lang w:val="en-GB"/>
        </w:rPr>
        <w:t xml:space="preserve">GORES, Thorsten et al. The Globalization of the </w:t>
      </w:r>
      <w:proofErr w:type="spellStart"/>
      <w:r w:rsidRPr="00441B43">
        <w:rPr>
          <w:rFonts w:eastAsia="Verdana" w:cs="Verdana"/>
          <w:lang w:val="en-GB"/>
        </w:rPr>
        <w:t>Bayh</w:t>
      </w:r>
      <w:proofErr w:type="spellEnd"/>
      <w:r w:rsidRPr="00441B43">
        <w:rPr>
          <w:rFonts w:eastAsia="Verdana" w:cs="Verdana"/>
          <w:lang w:val="en-GB"/>
        </w:rPr>
        <w:t>–Dole Act. </w:t>
      </w:r>
      <w:r w:rsidRPr="00441B43">
        <w:rPr>
          <w:rFonts w:eastAsia="Verdana" w:cs="Verdana"/>
          <w:b/>
          <w:lang w:val="en-GB"/>
        </w:rPr>
        <w:t>Annals of Science and Technology Policy</w:t>
      </w:r>
      <w:r w:rsidRPr="00441B43">
        <w:rPr>
          <w:rFonts w:eastAsia="Verdana" w:cs="Verdana"/>
          <w:lang w:val="en-GB"/>
        </w:rPr>
        <w:t>, v. 5, n. 1, p. 1-90, 2021.</w:t>
      </w:r>
    </w:p>
    <w:p w14:paraId="1C3CCC27" w14:textId="77777777" w:rsidR="007B74EB" w:rsidRDefault="007B74EB" w:rsidP="00041113">
      <w:pPr>
        <w:spacing w:before="240" w:line="288" w:lineRule="auto"/>
        <w:rPr>
          <w:rFonts w:eastAsia="Verdana" w:cs="Verdana"/>
          <w:lang w:val="en-GB"/>
        </w:rPr>
      </w:pPr>
      <w:r w:rsidRPr="00441B43">
        <w:rPr>
          <w:rFonts w:eastAsia="Verdana" w:cs="Verdana"/>
          <w:lang w:val="en-GB"/>
        </w:rPr>
        <w:t xml:space="preserve">GRAFF, Gregory D. et al. Echoes of </w:t>
      </w:r>
      <w:proofErr w:type="spellStart"/>
      <w:r w:rsidRPr="00441B43">
        <w:rPr>
          <w:rFonts w:eastAsia="Verdana" w:cs="Verdana"/>
          <w:lang w:val="en-GB"/>
        </w:rPr>
        <w:t>Bayh</w:t>
      </w:r>
      <w:proofErr w:type="spellEnd"/>
      <w:r w:rsidRPr="00441B43">
        <w:rPr>
          <w:rFonts w:eastAsia="Verdana" w:cs="Verdana"/>
          <w:lang w:val="en-GB"/>
        </w:rPr>
        <w:t>-Dole? A survey of IP and technology transfer policies in emerging and developing economies. </w:t>
      </w:r>
      <w:r w:rsidRPr="00441B43">
        <w:rPr>
          <w:rFonts w:eastAsia="Verdana" w:cs="Verdana"/>
          <w:b/>
          <w:lang w:val="en-GB"/>
        </w:rPr>
        <w:t>Intellectual property management in health and agricultural innovation: a handbook of best practices, Volumes 1 and 2</w:t>
      </w:r>
      <w:r w:rsidRPr="00441B43">
        <w:rPr>
          <w:rFonts w:eastAsia="Verdana" w:cs="Verdana"/>
          <w:lang w:val="en-GB"/>
        </w:rPr>
        <w:t>, p. 169-195, 2007.</w:t>
      </w:r>
    </w:p>
    <w:p w14:paraId="04E7F380" w14:textId="77777777" w:rsidR="00580C1F" w:rsidRPr="00441B43" w:rsidRDefault="00580C1F" w:rsidP="00580C1F">
      <w:pPr>
        <w:spacing w:before="0" w:after="160"/>
        <w:rPr>
          <w:rFonts w:eastAsia="Verdana" w:cs="Verdana"/>
          <w:lang w:val="en-GB"/>
        </w:rPr>
      </w:pPr>
      <w:r w:rsidRPr="00441B43">
        <w:rPr>
          <w:rFonts w:eastAsia="Verdana" w:cs="Verdana"/>
          <w:lang w:val="en-GB"/>
        </w:rPr>
        <w:t xml:space="preserve">KELLOGG, D.; CHARNES, J. M. Real-Options Valuation for a Biotechnology Company. </w:t>
      </w:r>
      <w:r w:rsidRPr="00441B43">
        <w:rPr>
          <w:rFonts w:eastAsia="Verdana" w:cs="Verdana"/>
          <w:b/>
          <w:bCs/>
          <w:lang w:val="en-GB"/>
        </w:rPr>
        <w:t>Financial Analysts Journal</w:t>
      </w:r>
      <w:r w:rsidRPr="00441B43">
        <w:rPr>
          <w:rFonts w:eastAsia="Verdana" w:cs="Verdana"/>
          <w:lang w:val="en-GB"/>
        </w:rPr>
        <w:t>, v. 56, n. 3, p. 76–84, 2000.</w:t>
      </w:r>
    </w:p>
    <w:p w14:paraId="51752DC5" w14:textId="77777777" w:rsidR="00580C1F" w:rsidRPr="00441B43" w:rsidRDefault="00580C1F" w:rsidP="00580C1F">
      <w:pPr>
        <w:spacing w:before="0" w:after="160"/>
        <w:rPr>
          <w:rFonts w:eastAsia="Verdana" w:cs="Verdana"/>
          <w:lang w:val="en-GB"/>
        </w:rPr>
      </w:pPr>
      <w:r w:rsidRPr="00441B43">
        <w:rPr>
          <w:rFonts w:eastAsia="Verdana" w:cs="Verdana"/>
          <w:lang w:val="en-GB"/>
        </w:rPr>
        <w:t xml:space="preserve">HARTMANN, M.; HASSAN, A. Application of real options analysis for pharmaceutical R&amp;D project valuation—Empirical results from a survey. </w:t>
      </w:r>
      <w:r w:rsidRPr="00441B43">
        <w:rPr>
          <w:rFonts w:eastAsia="Verdana" w:cs="Verdana"/>
          <w:b/>
          <w:bCs/>
          <w:lang w:val="en-GB"/>
        </w:rPr>
        <w:t>Research Policy</w:t>
      </w:r>
      <w:r w:rsidRPr="00441B43">
        <w:rPr>
          <w:rFonts w:eastAsia="Verdana" w:cs="Verdana"/>
          <w:lang w:val="en-GB"/>
        </w:rPr>
        <w:t>, v. 35, n. 3, p. 343–354, 2006.</w:t>
      </w:r>
    </w:p>
    <w:p w14:paraId="1769C838" w14:textId="77777777" w:rsidR="00580C1F" w:rsidRPr="00441B43" w:rsidRDefault="00580C1F" w:rsidP="00580C1F">
      <w:pPr>
        <w:spacing w:before="0" w:after="160"/>
        <w:rPr>
          <w:rFonts w:eastAsia="Verdana" w:cs="Verdana"/>
          <w:lang w:val="en-GB"/>
        </w:rPr>
      </w:pPr>
      <w:r w:rsidRPr="00441B43">
        <w:rPr>
          <w:rFonts w:eastAsia="Verdana" w:cs="Verdana"/>
          <w:lang w:val="en-GB"/>
        </w:rPr>
        <w:t>HÜBSCHER, Marc C.; EHRHART, Stella. Relief from royalty. </w:t>
      </w:r>
      <w:r w:rsidRPr="00441B43">
        <w:rPr>
          <w:rFonts w:eastAsia="Verdana" w:cs="Verdana"/>
          <w:b/>
          <w:bCs/>
          <w:lang w:val="en-GB"/>
        </w:rPr>
        <w:t>Intangibles in the World of Transfer Pricing: Identifying-Valuing-Implementing</w:t>
      </w:r>
      <w:r w:rsidRPr="00441B43">
        <w:rPr>
          <w:rFonts w:eastAsia="Verdana" w:cs="Verdana"/>
          <w:lang w:val="en-GB"/>
        </w:rPr>
        <w:t>, p. 283-298, 2021.</w:t>
      </w:r>
    </w:p>
    <w:p w14:paraId="1E0C4212" w14:textId="433F4F42" w:rsidR="00684DB9" w:rsidRPr="00441B43" w:rsidRDefault="00684DB9" w:rsidP="00041113">
      <w:pPr>
        <w:spacing w:before="240" w:line="288" w:lineRule="auto"/>
        <w:rPr>
          <w:rFonts w:eastAsia="Verdana" w:cs="Verdana"/>
          <w:lang w:val="en-GB"/>
        </w:rPr>
      </w:pPr>
      <w:r w:rsidRPr="00441B43">
        <w:rPr>
          <w:lang w:val="en-GB"/>
        </w:rPr>
        <w:t>CHESBROUGH, Henry</w:t>
      </w:r>
      <w:r w:rsidR="00B34B14" w:rsidRPr="00441B43">
        <w:rPr>
          <w:lang w:val="en-GB"/>
        </w:rPr>
        <w:t xml:space="preserve">: </w:t>
      </w:r>
      <w:r w:rsidRPr="00441B43">
        <w:rPr>
          <w:lang w:val="en-GB"/>
        </w:rPr>
        <w:t>Open Innovation: The New Imperative for Creating and Profiting from Technology"</w:t>
      </w:r>
      <w:r w:rsidR="006B0999" w:rsidRPr="00441B43">
        <w:rPr>
          <w:lang w:val="en-GB"/>
        </w:rPr>
        <w:t xml:space="preserve">, </w:t>
      </w:r>
      <w:r w:rsidRPr="00441B43">
        <w:rPr>
          <w:lang w:val="en-GB"/>
        </w:rPr>
        <w:t>2003.</w:t>
      </w:r>
    </w:p>
    <w:p w14:paraId="6AC31E90" w14:textId="77777777" w:rsidR="007B74EB" w:rsidRPr="00441B43" w:rsidRDefault="007B74EB" w:rsidP="00041113">
      <w:pPr>
        <w:spacing w:before="240" w:line="288" w:lineRule="auto"/>
        <w:rPr>
          <w:rFonts w:eastAsia="Verdana" w:cs="Verdana"/>
          <w:lang w:val="en-GB"/>
        </w:rPr>
      </w:pPr>
      <w:r w:rsidRPr="00441B43">
        <w:rPr>
          <w:rFonts w:eastAsia="Verdana" w:cs="Verdana"/>
          <w:lang w:val="en-GB"/>
        </w:rPr>
        <w:t xml:space="preserve">KIM, </w:t>
      </w:r>
      <w:proofErr w:type="spellStart"/>
      <w:r w:rsidRPr="00441B43">
        <w:rPr>
          <w:rFonts w:eastAsia="Verdana" w:cs="Verdana"/>
          <w:lang w:val="en-GB"/>
        </w:rPr>
        <w:t>Junic</w:t>
      </w:r>
      <w:proofErr w:type="spellEnd"/>
      <w:r w:rsidRPr="00441B43">
        <w:rPr>
          <w:rFonts w:eastAsia="Verdana" w:cs="Verdana"/>
          <w:lang w:val="en-GB"/>
        </w:rPr>
        <w:t xml:space="preserve">; YOO, </w:t>
      </w:r>
      <w:proofErr w:type="spellStart"/>
      <w:r w:rsidRPr="00441B43">
        <w:rPr>
          <w:rFonts w:eastAsia="Verdana" w:cs="Verdana"/>
          <w:lang w:val="en-GB"/>
        </w:rPr>
        <w:t>Jaewook</w:t>
      </w:r>
      <w:proofErr w:type="spellEnd"/>
      <w:r w:rsidRPr="00441B43">
        <w:rPr>
          <w:rFonts w:eastAsia="Verdana" w:cs="Verdana"/>
          <w:lang w:val="en-GB"/>
        </w:rPr>
        <w:t>. Science and technology policy research in the EU: from Framework Programme to HORIZON 2020. </w:t>
      </w:r>
      <w:r w:rsidRPr="00441B43">
        <w:rPr>
          <w:rFonts w:eastAsia="Verdana" w:cs="Verdana"/>
          <w:b/>
          <w:lang w:val="en-GB"/>
        </w:rPr>
        <w:t>Social Sciences</w:t>
      </w:r>
      <w:r w:rsidRPr="00441B43">
        <w:rPr>
          <w:rFonts w:eastAsia="Verdana" w:cs="Verdana"/>
          <w:lang w:val="en-GB"/>
        </w:rPr>
        <w:t>, v. 8, n. 5, p. 153, 2019.</w:t>
      </w:r>
    </w:p>
    <w:p w14:paraId="5799F2CF" w14:textId="77777777" w:rsidR="007B74EB" w:rsidRPr="00441B43" w:rsidRDefault="007B74EB" w:rsidP="00041113">
      <w:pPr>
        <w:spacing w:before="240" w:line="288" w:lineRule="auto"/>
        <w:rPr>
          <w:rFonts w:eastAsia="Verdana" w:cs="Verdana"/>
          <w:lang w:val="en-GB"/>
        </w:rPr>
      </w:pPr>
      <w:r w:rsidRPr="00441B43">
        <w:rPr>
          <w:rFonts w:eastAsia="Verdana" w:cs="Verdana"/>
          <w:lang w:val="en-GB"/>
        </w:rPr>
        <w:t xml:space="preserve">LINK, Albert N.; VAN HASSELT, </w:t>
      </w:r>
      <w:proofErr w:type="spellStart"/>
      <w:r w:rsidRPr="00441B43">
        <w:rPr>
          <w:rFonts w:eastAsia="Verdana" w:cs="Verdana"/>
          <w:lang w:val="en-GB"/>
        </w:rPr>
        <w:t>Martijn</w:t>
      </w:r>
      <w:proofErr w:type="spellEnd"/>
      <w:r w:rsidRPr="00441B43">
        <w:rPr>
          <w:rFonts w:eastAsia="Verdana" w:cs="Verdana"/>
          <w:lang w:val="en-GB"/>
        </w:rPr>
        <w:t xml:space="preserve">. On the transfer of technology from universities: The impact of the </w:t>
      </w:r>
      <w:proofErr w:type="spellStart"/>
      <w:r w:rsidRPr="00441B43">
        <w:rPr>
          <w:rFonts w:eastAsia="Verdana" w:cs="Verdana"/>
          <w:lang w:val="en-GB"/>
        </w:rPr>
        <w:t>Bayh</w:t>
      </w:r>
      <w:proofErr w:type="spellEnd"/>
      <w:r w:rsidRPr="00441B43">
        <w:rPr>
          <w:rFonts w:eastAsia="Verdana" w:cs="Verdana"/>
          <w:lang w:val="en-GB"/>
        </w:rPr>
        <w:t>–Dole Act of 1980 on the institutionalization of university research. </w:t>
      </w:r>
      <w:r w:rsidRPr="00441B43">
        <w:rPr>
          <w:rFonts w:eastAsia="Verdana" w:cs="Verdana"/>
          <w:b/>
          <w:lang w:val="en-GB"/>
        </w:rPr>
        <w:t>European Economic Review</w:t>
      </w:r>
      <w:r w:rsidRPr="00441B43">
        <w:rPr>
          <w:rFonts w:eastAsia="Verdana" w:cs="Verdana"/>
          <w:lang w:val="en-GB"/>
        </w:rPr>
        <w:t>, v. 119, p. 472-481, 2019.</w:t>
      </w:r>
    </w:p>
    <w:p w14:paraId="4804DDA5" w14:textId="77777777" w:rsidR="007B74EB" w:rsidRPr="00441B43" w:rsidRDefault="007B74EB" w:rsidP="00041113">
      <w:pPr>
        <w:spacing w:before="240" w:line="288" w:lineRule="auto"/>
        <w:rPr>
          <w:rFonts w:eastAsia="Verdana" w:cs="Verdana"/>
          <w:lang w:val="en-GB"/>
        </w:rPr>
      </w:pPr>
      <w:r w:rsidRPr="00441B43">
        <w:rPr>
          <w:rFonts w:eastAsia="Verdana" w:cs="Verdana"/>
          <w:caps/>
          <w:lang w:val="en-GB"/>
        </w:rPr>
        <w:t>Litan</w:t>
      </w:r>
      <w:r w:rsidRPr="00441B43">
        <w:rPr>
          <w:rFonts w:eastAsia="Verdana" w:cs="Verdana"/>
          <w:lang w:val="en-GB"/>
        </w:rPr>
        <w:t xml:space="preserve">, R.E.; </w:t>
      </w:r>
      <w:r w:rsidRPr="00441B43">
        <w:rPr>
          <w:rFonts w:eastAsia="Verdana" w:cs="Verdana"/>
          <w:caps/>
          <w:lang w:val="en-GB"/>
        </w:rPr>
        <w:t>Mitchell</w:t>
      </w:r>
      <w:r w:rsidRPr="00441B43">
        <w:rPr>
          <w:rFonts w:eastAsia="Verdana" w:cs="Verdana"/>
          <w:lang w:val="en-GB"/>
        </w:rPr>
        <w:t xml:space="preserve">, L.; </w:t>
      </w:r>
      <w:r w:rsidRPr="00441B43">
        <w:rPr>
          <w:rFonts w:eastAsia="Verdana" w:cs="Verdana"/>
          <w:caps/>
          <w:lang w:val="en-GB"/>
        </w:rPr>
        <w:t>Reedy</w:t>
      </w:r>
      <w:r w:rsidRPr="00441B43">
        <w:rPr>
          <w:rFonts w:eastAsia="Verdana" w:cs="Verdana"/>
          <w:lang w:val="en-GB"/>
        </w:rPr>
        <w:t xml:space="preserve">, E.J. The university as innovator: bumps in the road. </w:t>
      </w:r>
      <w:r w:rsidRPr="00441B43">
        <w:rPr>
          <w:rFonts w:eastAsia="Verdana" w:cs="Verdana"/>
          <w:b/>
          <w:lang w:val="en-GB"/>
        </w:rPr>
        <w:t>Issues in Science and Technology</w:t>
      </w:r>
      <w:r w:rsidRPr="00441B43">
        <w:rPr>
          <w:rFonts w:eastAsia="Verdana" w:cs="Verdana"/>
          <w:lang w:val="en-GB"/>
        </w:rPr>
        <w:t>. (Summer), 57–66, 2007.</w:t>
      </w:r>
    </w:p>
    <w:p w14:paraId="7DB7D2BD" w14:textId="77777777" w:rsidR="007B74EB" w:rsidRPr="00441B43" w:rsidRDefault="007B74EB" w:rsidP="00041113">
      <w:pPr>
        <w:spacing w:before="240" w:line="288" w:lineRule="auto"/>
        <w:rPr>
          <w:rFonts w:eastAsia="Verdana" w:cs="Verdana"/>
          <w:lang w:val="en-GB"/>
        </w:rPr>
      </w:pPr>
      <w:r w:rsidRPr="00441B43">
        <w:rPr>
          <w:rFonts w:eastAsia="Verdana" w:cs="Verdana"/>
          <w:lang w:val="en-GB"/>
        </w:rPr>
        <w:lastRenderedPageBreak/>
        <w:t xml:space="preserve">MACHO-STADLER, Inés; PÉREZ-CASTRILLO, David; VEUGELERS, </w:t>
      </w:r>
      <w:proofErr w:type="spellStart"/>
      <w:r w:rsidRPr="00441B43">
        <w:rPr>
          <w:rFonts w:eastAsia="Verdana" w:cs="Verdana"/>
          <w:lang w:val="en-GB"/>
        </w:rPr>
        <w:t>Reinhilde</w:t>
      </w:r>
      <w:proofErr w:type="spellEnd"/>
      <w:r w:rsidRPr="00441B43">
        <w:rPr>
          <w:rFonts w:eastAsia="Verdana" w:cs="Verdana"/>
          <w:lang w:val="en-GB"/>
        </w:rPr>
        <w:t>. Licensing of university inventions: The role of a technology transfer office. </w:t>
      </w:r>
      <w:r w:rsidRPr="00441B43">
        <w:rPr>
          <w:rFonts w:eastAsia="Verdana" w:cs="Verdana"/>
          <w:b/>
          <w:lang w:val="en-GB"/>
        </w:rPr>
        <w:t>International Journal of Industrial Organization</w:t>
      </w:r>
      <w:r w:rsidRPr="00441B43">
        <w:rPr>
          <w:rFonts w:eastAsia="Verdana" w:cs="Verdana"/>
          <w:lang w:val="en-GB"/>
        </w:rPr>
        <w:t>, v. 25, n. 3, p. 483-510, 2007.</w:t>
      </w:r>
    </w:p>
    <w:p w14:paraId="101C87A9" w14:textId="77777777" w:rsidR="007B74EB" w:rsidRPr="00441B43" w:rsidRDefault="007B74EB" w:rsidP="00041113">
      <w:pPr>
        <w:spacing w:before="240" w:line="288" w:lineRule="auto"/>
        <w:rPr>
          <w:rFonts w:eastAsia="Verdana" w:cs="Verdana"/>
          <w:lang w:val="en-GB"/>
        </w:rPr>
      </w:pPr>
      <w:r w:rsidRPr="00441B43">
        <w:rPr>
          <w:rFonts w:eastAsia="Verdana" w:cs="Verdana"/>
          <w:lang w:val="en-GB"/>
        </w:rPr>
        <w:t xml:space="preserve">MOWERY, David C. et al. The effects of the </w:t>
      </w:r>
      <w:proofErr w:type="spellStart"/>
      <w:r w:rsidRPr="00441B43">
        <w:rPr>
          <w:rFonts w:eastAsia="Verdana" w:cs="Verdana"/>
          <w:lang w:val="en-GB"/>
        </w:rPr>
        <w:t>Bayh</w:t>
      </w:r>
      <w:proofErr w:type="spellEnd"/>
      <w:r w:rsidRPr="00441B43">
        <w:rPr>
          <w:rFonts w:eastAsia="Verdana" w:cs="Verdana"/>
          <w:lang w:val="en-GB"/>
        </w:rPr>
        <w:t>-Dole Act on US university research and technology transfer: An analysis of data from Columbia University, the University of California, and Stanford University. </w:t>
      </w:r>
      <w:r w:rsidRPr="00441B43">
        <w:rPr>
          <w:rFonts w:eastAsia="Verdana" w:cs="Verdana"/>
          <w:b/>
          <w:lang w:val="en-GB"/>
        </w:rPr>
        <w:t>Research Policy</w:t>
      </w:r>
      <w:r w:rsidRPr="00441B43">
        <w:rPr>
          <w:rFonts w:eastAsia="Verdana" w:cs="Verdana"/>
          <w:lang w:val="en-GB"/>
        </w:rPr>
        <w:t>, v. 29, p. 729-40, 1999.</w:t>
      </w:r>
    </w:p>
    <w:p w14:paraId="318D208F" w14:textId="77777777" w:rsidR="007B74EB" w:rsidRPr="00441B43" w:rsidRDefault="007B74EB" w:rsidP="00041113">
      <w:pPr>
        <w:spacing w:before="240" w:line="288" w:lineRule="auto"/>
        <w:rPr>
          <w:rFonts w:eastAsia="Verdana" w:cs="Verdana"/>
          <w:lang w:val="en-GB"/>
        </w:rPr>
      </w:pPr>
      <w:r w:rsidRPr="00441B43">
        <w:rPr>
          <w:rFonts w:eastAsia="Verdana" w:cs="Verdana"/>
          <w:lang w:val="en-GB"/>
        </w:rPr>
        <w:t xml:space="preserve">MOWERY, David C. et al. The growth of patenting and licensing by US universities: an assessment of the effects of the </w:t>
      </w:r>
      <w:proofErr w:type="spellStart"/>
      <w:r w:rsidRPr="00441B43">
        <w:rPr>
          <w:rFonts w:eastAsia="Verdana" w:cs="Verdana"/>
          <w:lang w:val="en-GB"/>
        </w:rPr>
        <w:t>Bayh</w:t>
      </w:r>
      <w:proofErr w:type="spellEnd"/>
      <w:r w:rsidRPr="00441B43">
        <w:rPr>
          <w:rFonts w:eastAsia="Verdana" w:cs="Verdana"/>
          <w:lang w:val="en-GB"/>
        </w:rPr>
        <w:t>–Dole act of 1980. </w:t>
      </w:r>
      <w:r w:rsidRPr="00441B43">
        <w:rPr>
          <w:rFonts w:eastAsia="Verdana" w:cs="Verdana"/>
          <w:b/>
          <w:lang w:val="en-GB"/>
        </w:rPr>
        <w:t>Research policy</w:t>
      </w:r>
      <w:r w:rsidRPr="00441B43">
        <w:rPr>
          <w:rFonts w:eastAsia="Verdana" w:cs="Verdana"/>
          <w:lang w:val="en-GB"/>
        </w:rPr>
        <w:t>, v. 30, n. 1, p. 99-119, 2001.</w:t>
      </w:r>
    </w:p>
    <w:p w14:paraId="0E26D057" w14:textId="77777777" w:rsidR="007B74EB" w:rsidRPr="00441B43" w:rsidRDefault="007B74EB" w:rsidP="00041113">
      <w:pPr>
        <w:spacing w:before="240" w:line="288" w:lineRule="auto"/>
        <w:rPr>
          <w:rFonts w:eastAsia="Verdana" w:cs="Verdana"/>
          <w:lang w:val="en-GB"/>
        </w:rPr>
      </w:pPr>
      <w:r w:rsidRPr="00441B43">
        <w:rPr>
          <w:rFonts w:eastAsia="Verdana" w:cs="Verdana"/>
          <w:lang w:val="en-GB"/>
        </w:rPr>
        <w:t xml:space="preserve">MOWERY, David C.; SAMPAT, </w:t>
      </w:r>
      <w:proofErr w:type="spellStart"/>
      <w:r w:rsidRPr="00441B43">
        <w:rPr>
          <w:rFonts w:eastAsia="Verdana" w:cs="Verdana"/>
          <w:lang w:val="en-GB"/>
        </w:rPr>
        <w:t>Bhaven</w:t>
      </w:r>
      <w:proofErr w:type="spellEnd"/>
      <w:r w:rsidRPr="00441B43">
        <w:rPr>
          <w:rFonts w:eastAsia="Verdana" w:cs="Verdana"/>
          <w:lang w:val="en-GB"/>
        </w:rPr>
        <w:t xml:space="preserve"> N. The </w:t>
      </w:r>
      <w:proofErr w:type="spellStart"/>
      <w:r w:rsidRPr="00441B43">
        <w:rPr>
          <w:rFonts w:eastAsia="Verdana" w:cs="Verdana"/>
          <w:lang w:val="en-GB"/>
        </w:rPr>
        <w:t>Bayh</w:t>
      </w:r>
      <w:proofErr w:type="spellEnd"/>
      <w:r w:rsidRPr="00441B43">
        <w:rPr>
          <w:rFonts w:eastAsia="Verdana" w:cs="Verdana"/>
          <w:lang w:val="en-GB"/>
        </w:rPr>
        <w:t xml:space="preserve">-Dole Act of 1980 and university–industry technology transfer: a model for other OECD </w:t>
      </w:r>
      <w:proofErr w:type="gramStart"/>
      <w:r w:rsidRPr="00441B43">
        <w:rPr>
          <w:rFonts w:eastAsia="Verdana" w:cs="Verdana"/>
          <w:lang w:val="en-GB"/>
        </w:rPr>
        <w:t>governments?.</w:t>
      </w:r>
      <w:proofErr w:type="gramEnd"/>
      <w:r w:rsidRPr="00441B43">
        <w:rPr>
          <w:rFonts w:eastAsia="Verdana" w:cs="Verdana"/>
          <w:lang w:val="en-GB"/>
        </w:rPr>
        <w:t> </w:t>
      </w:r>
      <w:r w:rsidRPr="00441B43">
        <w:rPr>
          <w:rFonts w:eastAsia="Verdana" w:cs="Verdana"/>
          <w:b/>
          <w:lang w:val="en-GB"/>
        </w:rPr>
        <w:t>The Journal of technology transfer</w:t>
      </w:r>
      <w:r w:rsidRPr="00441B43">
        <w:rPr>
          <w:rFonts w:eastAsia="Verdana" w:cs="Verdana"/>
          <w:lang w:val="en-GB"/>
        </w:rPr>
        <w:t>, v. 30, p. 115-127, 2004.</w:t>
      </w:r>
    </w:p>
    <w:p w14:paraId="02134A8A" w14:textId="77777777" w:rsidR="007B74EB" w:rsidRPr="00441B43" w:rsidRDefault="007B74EB" w:rsidP="00041113">
      <w:pPr>
        <w:spacing w:before="240" w:line="288" w:lineRule="auto"/>
        <w:rPr>
          <w:rFonts w:eastAsia="Verdana" w:cs="Verdana"/>
          <w:lang w:val="en-GB"/>
        </w:rPr>
      </w:pPr>
      <w:r w:rsidRPr="00441B43">
        <w:rPr>
          <w:rFonts w:eastAsia="Verdana" w:cs="Verdana"/>
          <w:lang w:val="en-GB"/>
        </w:rPr>
        <w:t>MOWERY, David C. et al. </w:t>
      </w:r>
      <w:r w:rsidRPr="00441B43">
        <w:rPr>
          <w:rFonts w:eastAsia="Verdana" w:cs="Verdana"/>
          <w:b/>
          <w:lang w:val="en-GB"/>
        </w:rPr>
        <w:t xml:space="preserve">Ivory tower and industrial innovation: University-industry technology transfer before and after the </w:t>
      </w:r>
      <w:proofErr w:type="spellStart"/>
      <w:r w:rsidRPr="00441B43">
        <w:rPr>
          <w:rFonts w:eastAsia="Verdana" w:cs="Verdana"/>
          <w:b/>
          <w:lang w:val="en-GB"/>
        </w:rPr>
        <w:t>Bayh</w:t>
      </w:r>
      <w:proofErr w:type="spellEnd"/>
      <w:r w:rsidRPr="00441B43">
        <w:rPr>
          <w:rFonts w:eastAsia="Verdana" w:cs="Verdana"/>
          <w:b/>
          <w:lang w:val="en-GB"/>
        </w:rPr>
        <w:t>-Dole Act</w:t>
      </w:r>
      <w:r w:rsidRPr="00441B43">
        <w:rPr>
          <w:rFonts w:eastAsia="Verdana" w:cs="Verdana"/>
          <w:lang w:val="en-GB"/>
        </w:rPr>
        <w:t>. Stanford University Press, 2015.</w:t>
      </w:r>
    </w:p>
    <w:p w14:paraId="391F34B3" w14:textId="77777777" w:rsidR="007B74EB" w:rsidRPr="00441B43" w:rsidRDefault="007B74EB" w:rsidP="00041113">
      <w:pPr>
        <w:spacing w:before="240" w:line="288" w:lineRule="auto"/>
        <w:rPr>
          <w:rFonts w:eastAsia="Verdana" w:cs="Verdana"/>
          <w:lang w:val="en-GB"/>
        </w:rPr>
      </w:pPr>
      <w:r w:rsidRPr="00441B43">
        <w:rPr>
          <w:rFonts w:eastAsia="Verdana" w:cs="Verdana"/>
          <w:lang w:val="en-GB"/>
        </w:rPr>
        <w:t>NATIONAL ACADEMIES OF SCIENCES, ENGINEERING, AND MEDICINE et al. STTR: An Assessment of the Small Business Technology Transfer Program. 2016.</w:t>
      </w:r>
    </w:p>
    <w:p w14:paraId="08F2951F" w14:textId="77777777" w:rsidR="007B74EB" w:rsidRPr="00441B43" w:rsidRDefault="007B74EB" w:rsidP="00041113">
      <w:pPr>
        <w:spacing w:before="240" w:line="288" w:lineRule="auto"/>
        <w:rPr>
          <w:rFonts w:eastAsia="Verdana" w:cs="Verdana"/>
          <w:lang w:val="en-GB"/>
        </w:rPr>
      </w:pPr>
      <w:r w:rsidRPr="00441B43">
        <w:rPr>
          <w:rFonts w:eastAsia="Verdana" w:cs="Verdana"/>
          <w:lang w:val="en-GB"/>
        </w:rPr>
        <w:t>O'SHEA, Rory P. et al. Delineating the anatomy of an entrepreneurial university: the Massachusetts Institute of Technology experience. </w:t>
      </w:r>
      <w:proofErr w:type="spellStart"/>
      <w:r w:rsidRPr="00441B43">
        <w:rPr>
          <w:rFonts w:eastAsia="Verdana" w:cs="Verdana"/>
          <w:b/>
          <w:lang w:val="en-GB"/>
        </w:rPr>
        <w:t>R&amp;d</w:t>
      </w:r>
      <w:proofErr w:type="spellEnd"/>
      <w:r w:rsidRPr="00441B43">
        <w:rPr>
          <w:rFonts w:eastAsia="Verdana" w:cs="Verdana"/>
          <w:b/>
          <w:lang w:val="en-GB"/>
        </w:rPr>
        <w:t xml:space="preserve"> Management</w:t>
      </w:r>
      <w:r w:rsidRPr="00441B43">
        <w:rPr>
          <w:rFonts w:eastAsia="Verdana" w:cs="Verdana"/>
          <w:lang w:val="en-GB"/>
        </w:rPr>
        <w:t>, v. 37, n. 1, p. 1-16, 2007.</w:t>
      </w:r>
    </w:p>
    <w:p w14:paraId="4FFAB6EE" w14:textId="77777777" w:rsidR="007B74EB" w:rsidRPr="00441B43" w:rsidRDefault="007B74EB" w:rsidP="00041113">
      <w:pPr>
        <w:spacing w:before="240" w:line="288" w:lineRule="auto"/>
        <w:rPr>
          <w:rFonts w:eastAsia="Verdana" w:cs="Verdana"/>
          <w:lang w:val="en-GB"/>
        </w:rPr>
      </w:pPr>
      <w:r w:rsidRPr="00441B43">
        <w:rPr>
          <w:rFonts w:eastAsia="Verdana" w:cs="Verdana"/>
          <w:lang w:val="en-GB"/>
        </w:rPr>
        <w:t>RYAN, C. J.; SCHUSTER, W. Michael; FRYE, Brian L. The Hidden Cost of University Patents. </w:t>
      </w:r>
      <w:r w:rsidRPr="00441B43">
        <w:rPr>
          <w:rFonts w:eastAsia="Verdana" w:cs="Verdana"/>
          <w:b/>
          <w:lang w:val="en-GB"/>
        </w:rPr>
        <w:t>University of Louisville School of Law Legal Studies Research Paper Series Forthcoming</w:t>
      </w:r>
      <w:r w:rsidRPr="00441B43">
        <w:rPr>
          <w:rFonts w:eastAsia="Verdana" w:cs="Verdana"/>
          <w:lang w:val="en-GB"/>
        </w:rPr>
        <w:t>, 2023.</w:t>
      </w:r>
    </w:p>
    <w:p w14:paraId="6048B22F" w14:textId="77777777" w:rsidR="007B74EB" w:rsidRPr="00FF7074" w:rsidRDefault="007B74EB" w:rsidP="00041113">
      <w:pPr>
        <w:spacing w:before="240" w:line="288" w:lineRule="auto"/>
        <w:rPr>
          <w:rFonts w:eastAsia="Verdana" w:cs="Verdana"/>
          <w:lang w:val="pt-PT"/>
        </w:rPr>
      </w:pPr>
      <w:r w:rsidRPr="00441B43">
        <w:rPr>
          <w:rFonts w:eastAsia="Verdana" w:cs="Verdana"/>
          <w:lang w:val="en-GB"/>
        </w:rPr>
        <w:t xml:space="preserve">SAMPAT, </w:t>
      </w:r>
      <w:proofErr w:type="spellStart"/>
      <w:r w:rsidRPr="00441B43">
        <w:rPr>
          <w:rFonts w:eastAsia="Verdana" w:cs="Verdana"/>
          <w:lang w:val="en-GB"/>
        </w:rPr>
        <w:t>Bhaven</w:t>
      </w:r>
      <w:proofErr w:type="spellEnd"/>
      <w:r w:rsidRPr="00441B43">
        <w:rPr>
          <w:rFonts w:eastAsia="Verdana" w:cs="Verdana"/>
          <w:lang w:val="en-GB"/>
        </w:rPr>
        <w:t xml:space="preserve"> N. Patenting and US academic research in the 20th century: The world before and after </w:t>
      </w:r>
      <w:proofErr w:type="spellStart"/>
      <w:r w:rsidRPr="00441B43">
        <w:rPr>
          <w:rFonts w:eastAsia="Verdana" w:cs="Verdana"/>
          <w:lang w:val="en-GB"/>
        </w:rPr>
        <w:t>Bayh</w:t>
      </w:r>
      <w:proofErr w:type="spellEnd"/>
      <w:r w:rsidRPr="00441B43">
        <w:rPr>
          <w:rFonts w:eastAsia="Verdana" w:cs="Verdana"/>
          <w:lang w:val="en-GB"/>
        </w:rPr>
        <w:t>-Dole. </w:t>
      </w:r>
      <w:r w:rsidRPr="00FF7074">
        <w:rPr>
          <w:rFonts w:eastAsia="Verdana" w:cs="Verdana"/>
          <w:b/>
          <w:lang w:val="pt-PT"/>
        </w:rPr>
        <w:t xml:space="preserve">Research </w:t>
      </w:r>
      <w:proofErr w:type="spellStart"/>
      <w:r w:rsidRPr="00FF7074">
        <w:rPr>
          <w:rFonts w:eastAsia="Verdana" w:cs="Verdana"/>
          <w:b/>
          <w:lang w:val="pt-PT"/>
        </w:rPr>
        <w:t>Policy</w:t>
      </w:r>
      <w:proofErr w:type="spellEnd"/>
      <w:r w:rsidRPr="00FF7074">
        <w:rPr>
          <w:rFonts w:eastAsia="Verdana" w:cs="Verdana"/>
          <w:lang w:val="pt-PT"/>
        </w:rPr>
        <w:t>, v. 35, n. 6, p. 772-789, 2006.</w:t>
      </w:r>
    </w:p>
    <w:p w14:paraId="5FE89A3A" w14:textId="77777777" w:rsidR="007B74EB" w:rsidRPr="00441B43" w:rsidRDefault="007B74EB" w:rsidP="00041113">
      <w:pPr>
        <w:spacing w:before="240" w:line="288" w:lineRule="auto"/>
        <w:rPr>
          <w:rFonts w:eastAsia="Verdana" w:cs="Verdana"/>
        </w:rPr>
      </w:pPr>
      <w:r w:rsidRPr="00FF7074">
        <w:rPr>
          <w:rFonts w:eastAsia="Verdana" w:cs="Verdana"/>
          <w:lang w:val="pt-PT"/>
        </w:rPr>
        <w:t xml:space="preserve">SANTOS, Helder </w:t>
      </w:r>
      <w:proofErr w:type="spellStart"/>
      <w:r w:rsidRPr="00FF7074">
        <w:rPr>
          <w:rFonts w:eastAsia="Verdana" w:cs="Verdana"/>
          <w:lang w:val="pt-PT"/>
        </w:rPr>
        <w:t>et</w:t>
      </w:r>
      <w:proofErr w:type="spellEnd"/>
      <w:r w:rsidRPr="00FF7074">
        <w:rPr>
          <w:rFonts w:eastAsia="Verdana" w:cs="Verdana"/>
          <w:lang w:val="pt-PT"/>
        </w:rPr>
        <w:t xml:space="preserve"> al. Especialização inteligente: as redes de projetos europeus H2020 com ancoragem em Portugal. </w:t>
      </w:r>
      <w:r w:rsidRPr="00441B43">
        <w:rPr>
          <w:rFonts w:eastAsia="Verdana" w:cs="Verdana"/>
          <w:b/>
        </w:rPr>
        <w:t xml:space="preserve">La geografía de las </w:t>
      </w:r>
      <w:proofErr w:type="gramStart"/>
      <w:r w:rsidRPr="00441B43">
        <w:rPr>
          <w:rFonts w:eastAsia="Verdana" w:cs="Verdana"/>
          <w:b/>
        </w:rPr>
        <w:t>redes económicas y la geografía económica</w:t>
      </w:r>
      <w:proofErr w:type="gramEnd"/>
      <w:r w:rsidRPr="00441B43">
        <w:rPr>
          <w:rFonts w:eastAsia="Verdana" w:cs="Verdana"/>
          <w:b/>
        </w:rPr>
        <w:t xml:space="preserve"> en red</w:t>
      </w:r>
      <w:r w:rsidRPr="00441B43">
        <w:rPr>
          <w:rFonts w:eastAsia="Verdana" w:cs="Verdana"/>
        </w:rPr>
        <w:t>, 2020.</w:t>
      </w:r>
    </w:p>
    <w:p w14:paraId="79718526" w14:textId="77777777" w:rsidR="007B74EB" w:rsidRPr="00441B43" w:rsidRDefault="007B74EB" w:rsidP="00041113">
      <w:pPr>
        <w:spacing w:before="240" w:line="288" w:lineRule="auto"/>
        <w:rPr>
          <w:rFonts w:eastAsia="Verdana" w:cs="Verdana"/>
          <w:lang w:val="en-GB"/>
        </w:rPr>
      </w:pPr>
      <w:r w:rsidRPr="00441B43">
        <w:rPr>
          <w:rFonts w:eastAsia="Verdana" w:cs="Verdana"/>
          <w:lang w:val="en-GB"/>
        </w:rPr>
        <w:t xml:space="preserve">SARPATWARI, </w:t>
      </w:r>
      <w:proofErr w:type="spellStart"/>
      <w:r w:rsidRPr="00441B43">
        <w:rPr>
          <w:rFonts w:eastAsia="Verdana" w:cs="Verdana"/>
          <w:lang w:val="en-GB"/>
        </w:rPr>
        <w:t>Ameet</w:t>
      </w:r>
      <w:proofErr w:type="spellEnd"/>
      <w:r w:rsidRPr="00441B43">
        <w:rPr>
          <w:rFonts w:eastAsia="Verdana" w:cs="Verdana"/>
          <w:lang w:val="en-GB"/>
        </w:rPr>
        <w:t xml:space="preserve">; KESSELHEIM, Aaron S.; COOK-DEEGAN, Robert. The </w:t>
      </w:r>
      <w:proofErr w:type="spellStart"/>
      <w:r w:rsidRPr="00441B43">
        <w:rPr>
          <w:rFonts w:eastAsia="Verdana" w:cs="Verdana"/>
          <w:lang w:val="en-GB"/>
        </w:rPr>
        <w:t>Bayh</w:t>
      </w:r>
      <w:proofErr w:type="spellEnd"/>
      <w:r w:rsidRPr="00441B43">
        <w:rPr>
          <w:rFonts w:eastAsia="Verdana" w:cs="Verdana"/>
          <w:lang w:val="en-GB"/>
        </w:rPr>
        <w:t>-Dole Act at 40: Accomplishments, Challenges, and Possible Reforms. </w:t>
      </w:r>
      <w:r w:rsidRPr="00441B43">
        <w:rPr>
          <w:rFonts w:eastAsia="Verdana" w:cs="Verdana"/>
          <w:b/>
          <w:lang w:val="en-GB"/>
        </w:rPr>
        <w:t>Journal of health politics, policy and law</w:t>
      </w:r>
      <w:r w:rsidRPr="00441B43">
        <w:rPr>
          <w:rFonts w:eastAsia="Verdana" w:cs="Verdana"/>
          <w:lang w:val="en-GB"/>
        </w:rPr>
        <w:t>, v. 47, n. 6, p. 879-895, 2022.</w:t>
      </w:r>
    </w:p>
    <w:p w14:paraId="130DFA18" w14:textId="77777777" w:rsidR="007B74EB" w:rsidRPr="00441B43" w:rsidRDefault="007B74EB" w:rsidP="00041113">
      <w:pPr>
        <w:spacing w:before="240" w:line="288" w:lineRule="auto"/>
        <w:rPr>
          <w:rFonts w:eastAsia="Verdana" w:cs="Verdana"/>
          <w:lang w:val="en-GB"/>
        </w:rPr>
      </w:pPr>
      <w:r w:rsidRPr="00441B43">
        <w:rPr>
          <w:rFonts w:eastAsia="Verdana" w:cs="Verdana"/>
          <w:caps/>
          <w:lang w:val="en-GB"/>
        </w:rPr>
        <w:t>Schacht</w:t>
      </w:r>
      <w:r w:rsidRPr="00441B43">
        <w:rPr>
          <w:rFonts w:eastAsia="Verdana" w:cs="Verdana"/>
          <w:lang w:val="en-GB"/>
        </w:rPr>
        <w:t xml:space="preserve">, Wendy H. "The </w:t>
      </w:r>
      <w:proofErr w:type="spellStart"/>
      <w:r w:rsidRPr="00441B43">
        <w:rPr>
          <w:rFonts w:eastAsia="Verdana" w:cs="Verdana"/>
          <w:lang w:val="en-GB"/>
        </w:rPr>
        <w:t>Bayh</w:t>
      </w:r>
      <w:proofErr w:type="spellEnd"/>
      <w:r w:rsidRPr="00441B43">
        <w:rPr>
          <w:rFonts w:eastAsia="Verdana" w:cs="Verdana"/>
          <w:lang w:val="en-GB"/>
        </w:rPr>
        <w:t xml:space="preserve">-Dole act: selected issues in patent policy and the commercialization of technology." </w:t>
      </w:r>
      <w:r w:rsidRPr="00441B43">
        <w:rPr>
          <w:rFonts w:eastAsia="Verdana" w:cs="Verdana"/>
          <w:b/>
          <w:lang w:val="en-GB"/>
        </w:rPr>
        <w:t>Library of Congress Washington DC Congressional Research Service</w:t>
      </w:r>
      <w:r w:rsidRPr="00441B43">
        <w:rPr>
          <w:rFonts w:eastAsia="Verdana" w:cs="Verdana"/>
          <w:lang w:val="en-GB"/>
        </w:rPr>
        <w:t>, 2009.</w:t>
      </w:r>
    </w:p>
    <w:p w14:paraId="1A4024CA" w14:textId="77777777" w:rsidR="007B74EB" w:rsidRPr="00441B43" w:rsidRDefault="007B74EB" w:rsidP="00041113">
      <w:pPr>
        <w:spacing w:before="240" w:line="288" w:lineRule="auto"/>
        <w:rPr>
          <w:rFonts w:eastAsia="Verdana" w:cs="Verdana"/>
          <w:lang w:val="en-GB"/>
        </w:rPr>
      </w:pPr>
      <w:r w:rsidRPr="00441B43">
        <w:rPr>
          <w:rFonts w:eastAsia="Verdana" w:cs="Verdana"/>
          <w:lang w:val="en-GB"/>
        </w:rPr>
        <w:t>SCOTT, John T. </w:t>
      </w:r>
      <w:r w:rsidRPr="00441B43">
        <w:rPr>
          <w:rFonts w:eastAsia="Verdana" w:cs="Verdana"/>
          <w:b/>
          <w:lang w:val="en-GB"/>
        </w:rPr>
        <w:t>Historical and economic perspectives of the National Cooperative Research Act</w:t>
      </w:r>
      <w:r w:rsidRPr="00441B43">
        <w:rPr>
          <w:rFonts w:eastAsia="Verdana" w:cs="Verdana"/>
          <w:lang w:val="en-GB"/>
        </w:rPr>
        <w:t>. Springer Netherlands, 1989.</w:t>
      </w:r>
    </w:p>
    <w:p w14:paraId="29D02A75" w14:textId="77777777" w:rsidR="007B74EB" w:rsidRPr="00441B43" w:rsidRDefault="007B74EB" w:rsidP="00041113">
      <w:pPr>
        <w:spacing w:before="240" w:line="288" w:lineRule="auto"/>
        <w:rPr>
          <w:rFonts w:eastAsia="Verdana" w:cs="Verdana"/>
          <w:lang w:val="en-GB"/>
        </w:rPr>
      </w:pPr>
      <w:r w:rsidRPr="00441B43">
        <w:rPr>
          <w:rFonts w:eastAsia="Verdana" w:cs="Verdana"/>
          <w:lang w:val="en-GB"/>
        </w:rPr>
        <w:lastRenderedPageBreak/>
        <w:t xml:space="preserve">SHANE, Scott. Encouraging university entrepreneurship? The effect of the </w:t>
      </w:r>
      <w:proofErr w:type="spellStart"/>
      <w:r w:rsidRPr="00441B43">
        <w:rPr>
          <w:rFonts w:eastAsia="Verdana" w:cs="Verdana"/>
          <w:lang w:val="en-GB"/>
        </w:rPr>
        <w:t>Bayh</w:t>
      </w:r>
      <w:proofErr w:type="spellEnd"/>
      <w:r w:rsidRPr="00441B43">
        <w:rPr>
          <w:rFonts w:eastAsia="Verdana" w:cs="Verdana"/>
          <w:lang w:val="en-GB"/>
        </w:rPr>
        <w:t>-Dole Act on university patenting in the United States. </w:t>
      </w:r>
      <w:r w:rsidRPr="00441B43">
        <w:rPr>
          <w:rFonts w:eastAsia="Verdana" w:cs="Verdana"/>
          <w:b/>
          <w:lang w:val="en-GB"/>
        </w:rPr>
        <w:t>Journal of business venturing</w:t>
      </w:r>
      <w:r w:rsidRPr="00441B43">
        <w:rPr>
          <w:rFonts w:eastAsia="Verdana" w:cs="Verdana"/>
          <w:lang w:val="en-GB"/>
        </w:rPr>
        <w:t>, v. 19, n. 1, p. 127-151, 2004.</w:t>
      </w:r>
    </w:p>
    <w:p w14:paraId="31F99283" w14:textId="77777777" w:rsidR="007B74EB" w:rsidRPr="00441B43" w:rsidRDefault="007B74EB" w:rsidP="00041113">
      <w:pPr>
        <w:spacing w:before="240" w:line="288" w:lineRule="auto"/>
        <w:rPr>
          <w:rFonts w:eastAsia="Verdana" w:cs="Verdana"/>
          <w:lang w:val="en-GB"/>
        </w:rPr>
      </w:pPr>
      <w:r w:rsidRPr="00441B43">
        <w:rPr>
          <w:rFonts w:eastAsia="Verdana" w:cs="Verdana"/>
          <w:lang w:val="en-GB"/>
        </w:rPr>
        <w:t>SHAPIRA, Philip; YOUTIE, Jan. The innovation system and innovation policy in the United States. </w:t>
      </w:r>
      <w:r w:rsidRPr="00441B43">
        <w:rPr>
          <w:rFonts w:eastAsia="Verdana" w:cs="Verdana"/>
          <w:b/>
          <w:lang w:val="en-GB"/>
        </w:rPr>
        <w:t xml:space="preserve">Competing for global innovation leadership: Innovation systems and policies in the USA, </w:t>
      </w:r>
      <w:proofErr w:type="gramStart"/>
      <w:r w:rsidRPr="00441B43">
        <w:rPr>
          <w:rFonts w:eastAsia="Verdana" w:cs="Verdana"/>
          <w:b/>
          <w:lang w:val="en-GB"/>
        </w:rPr>
        <w:t>Europe</w:t>
      </w:r>
      <w:proofErr w:type="gramEnd"/>
      <w:r w:rsidRPr="00441B43">
        <w:rPr>
          <w:rFonts w:eastAsia="Verdana" w:cs="Verdana"/>
          <w:b/>
          <w:lang w:val="en-GB"/>
        </w:rPr>
        <w:t xml:space="preserve"> and Asia. Stuttgart: Fraunhofer Verlag</w:t>
      </w:r>
      <w:r w:rsidRPr="00441B43">
        <w:rPr>
          <w:rFonts w:eastAsia="Verdana" w:cs="Verdana"/>
          <w:lang w:val="en-GB"/>
        </w:rPr>
        <w:t>, p. 5-29, 2010.</w:t>
      </w:r>
    </w:p>
    <w:p w14:paraId="4E76746B" w14:textId="77777777" w:rsidR="007B74EB" w:rsidRPr="00441B43" w:rsidRDefault="007B74EB" w:rsidP="00041113">
      <w:pPr>
        <w:spacing w:before="240" w:line="288" w:lineRule="auto"/>
        <w:rPr>
          <w:rFonts w:eastAsia="Verdana" w:cs="Verdana"/>
          <w:lang w:val="en-GB"/>
        </w:rPr>
      </w:pPr>
      <w:r w:rsidRPr="00441B43">
        <w:rPr>
          <w:rFonts w:eastAsia="Verdana" w:cs="Verdana"/>
          <w:lang w:val="en-GB"/>
        </w:rPr>
        <w:t xml:space="preserve">SO, Anthony D. et al. Is </w:t>
      </w:r>
      <w:proofErr w:type="spellStart"/>
      <w:r w:rsidRPr="00441B43">
        <w:rPr>
          <w:rFonts w:eastAsia="Verdana" w:cs="Verdana"/>
          <w:lang w:val="en-GB"/>
        </w:rPr>
        <w:t>Bayh</w:t>
      </w:r>
      <w:proofErr w:type="spellEnd"/>
      <w:r w:rsidRPr="00441B43">
        <w:rPr>
          <w:rFonts w:eastAsia="Verdana" w:cs="Verdana"/>
          <w:lang w:val="en-GB"/>
        </w:rPr>
        <w:t>-Dole good for developing countries? Lessons from the US experience. </w:t>
      </w:r>
      <w:proofErr w:type="spellStart"/>
      <w:r w:rsidRPr="00441B43">
        <w:rPr>
          <w:rFonts w:eastAsia="Verdana" w:cs="Verdana"/>
          <w:b/>
          <w:lang w:val="en-GB"/>
        </w:rPr>
        <w:t>PLoS</w:t>
      </w:r>
      <w:proofErr w:type="spellEnd"/>
      <w:r w:rsidRPr="00441B43">
        <w:rPr>
          <w:rFonts w:eastAsia="Verdana" w:cs="Verdana"/>
          <w:b/>
          <w:lang w:val="en-GB"/>
        </w:rPr>
        <w:t xml:space="preserve"> biology</w:t>
      </w:r>
      <w:r w:rsidRPr="00441B43">
        <w:rPr>
          <w:rFonts w:eastAsia="Verdana" w:cs="Verdana"/>
          <w:lang w:val="en-GB"/>
        </w:rPr>
        <w:t>, v. 6, n. 10, p. e262, 2008.</w:t>
      </w:r>
    </w:p>
    <w:p w14:paraId="315D1BFE" w14:textId="77777777" w:rsidR="007B74EB" w:rsidRPr="00441B43" w:rsidRDefault="007B74EB" w:rsidP="00041113">
      <w:pPr>
        <w:spacing w:before="240" w:line="288" w:lineRule="auto"/>
        <w:rPr>
          <w:rFonts w:eastAsia="Verdana" w:cs="Verdana"/>
          <w:lang w:val="en-GB"/>
        </w:rPr>
      </w:pPr>
      <w:r w:rsidRPr="00441B43">
        <w:rPr>
          <w:rFonts w:eastAsia="Verdana" w:cs="Verdana"/>
          <w:lang w:val="en-GB"/>
        </w:rPr>
        <w:t xml:space="preserve">SOMANI, Soumya. ARPA-H: Risky or Revolutionary? The Challenges and Opportunities of Biden’s New Biomedical Research Agency. </w:t>
      </w:r>
      <w:r w:rsidRPr="00441B43">
        <w:rPr>
          <w:rFonts w:eastAsia="Verdana" w:cs="Verdana"/>
          <w:b/>
          <w:lang w:val="en-GB"/>
        </w:rPr>
        <w:t>Journal of Science Policy &amp; Governance</w:t>
      </w:r>
      <w:r w:rsidRPr="00441B43">
        <w:rPr>
          <w:rFonts w:eastAsia="Verdana" w:cs="Verdana"/>
          <w:lang w:val="en-GB"/>
        </w:rPr>
        <w:t>, v. 2, n. 4, 2022.</w:t>
      </w:r>
    </w:p>
    <w:p w14:paraId="5C07A10F" w14:textId="77777777" w:rsidR="007B74EB" w:rsidRPr="00441B43" w:rsidRDefault="007B74EB" w:rsidP="00041113">
      <w:pPr>
        <w:spacing w:before="240" w:line="288" w:lineRule="auto"/>
        <w:rPr>
          <w:rFonts w:eastAsia="Verdana" w:cs="Verdana"/>
          <w:lang w:val="en-GB"/>
        </w:rPr>
      </w:pPr>
      <w:r w:rsidRPr="00441B43">
        <w:rPr>
          <w:rFonts w:eastAsia="Verdana" w:cs="Verdana"/>
          <w:lang w:val="en-GB"/>
        </w:rPr>
        <w:t xml:space="preserve">STEVENS, Ashley J. The Enactment of </w:t>
      </w:r>
      <w:proofErr w:type="spellStart"/>
      <w:r w:rsidRPr="00441B43">
        <w:rPr>
          <w:rFonts w:eastAsia="Verdana" w:cs="Verdana"/>
          <w:lang w:val="en-GB"/>
        </w:rPr>
        <w:t>Bayh</w:t>
      </w:r>
      <w:proofErr w:type="spellEnd"/>
      <w:r w:rsidRPr="00441B43">
        <w:rPr>
          <w:rFonts w:eastAsia="Verdana" w:cs="Verdana"/>
          <w:lang w:val="en-GB"/>
        </w:rPr>
        <w:t>-Dole. </w:t>
      </w:r>
      <w:r w:rsidRPr="00441B43">
        <w:rPr>
          <w:rFonts w:eastAsia="Verdana" w:cs="Verdana"/>
          <w:b/>
          <w:lang w:val="en-GB"/>
        </w:rPr>
        <w:t>Journal of Technology Transfer</w:t>
      </w:r>
      <w:r w:rsidRPr="00441B43">
        <w:rPr>
          <w:rFonts w:eastAsia="Verdana" w:cs="Verdana"/>
          <w:lang w:val="en-GB"/>
        </w:rPr>
        <w:t>, v. 29, n. 1, p. 93, 2004.</w:t>
      </w:r>
    </w:p>
    <w:p w14:paraId="32E786BE" w14:textId="77777777" w:rsidR="007B74EB" w:rsidRPr="00FF7074" w:rsidRDefault="007B74EB" w:rsidP="00041113">
      <w:pPr>
        <w:spacing w:before="240" w:line="288" w:lineRule="auto"/>
        <w:rPr>
          <w:rFonts w:eastAsia="Verdana" w:cs="Verdana"/>
          <w:lang w:val="pt-PT"/>
        </w:rPr>
      </w:pPr>
      <w:r w:rsidRPr="00441B43">
        <w:rPr>
          <w:rFonts w:eastAsia="Verdana" w:cs="Verdana"/>
          <w:lang w:val="en-GB" w:eastAsia="pt-PT"/>
        </w:rPr>
        <w:t>T</w:t>
      </w:r>
      <w:r w:rsidRPr="00441B43">
        <w:rPr>
          <w:rFonts w:eastAsia="Verdana" w:cs="Verdana"/>
          <w:caps/>
          <w:lang w:val="en-GB" w:eastAsia="pt-PT"/>
        </w:rPr>
        <w:t>he Universisty of Texas System</w:t>
      </w:r>
      <w:r w:rsidRPr="00441B43">
        <w:rPr>
          <w:rFonts w:eastAsia="Verdana" w:cs="Verdana"/>
          <w:lang w:val="en-GB" w:eastAsia="pt-PT"/>
        </w:rPr>
        <w:t xml:space="preserve">. </w:t>
      </w:r>
      <w:r w:rsidRPr="00FF7074">
        <w:rPr>
          <w:rFonts w:eastAsia="Verdana" w:cs="Verdana"/>
          <w:b/>
          <w:lang w:val="pt-PT" w:eastAsia="pt-PT"/>
        </w:rPr>
        <w:t>Rule 90101: Intellectual Property</w:t>
      </w:r>
      <w:r w:rsidRPr="00FF7074">
        <w:rPr>
          <w:rFonts w:eastAsia="Verdana" w:cs="Verdana"/>
          <w:lang w:val="pt-PT" w:eastAsia="pt-PT"/>
        </w:rPr>
        <w:t>. 2015. Disponível em: &lt;https://www.utsystem.edu/board-of-regents/rules/90101-intellectual-property&gt;. Data de acesso: 1 de jun. de 2023.</w:t>
      </w:r>
    </w:p>
    <w:p w14:paraId="7728F013" w14:textId="77777777" w:rsidR="007B74EB" w:rsidRPr="00441B43" w:rsidRDefault="007B74EB" w:rsidP="00041113">
      <w:pPr>
        <w:spacing w:before="240" w:line="288" w:lineRule="auto"/>
        <w:rPr>
          <w:rFonts w:eastAsia="Verdana" w:cs="Verdana"/>
          <w:lang w:val="en-GB"/>
        </w:rPr>
      </w:pPr>
      <w:r w:rsidRPr="00C11CC2">
        <w:rPr>
          <w:rFonts w:eastAsia="Verdana" w:cs="Verdana"/>
          <w:lang w:val="pt-PT"/>
        </w:rPr>
        <w:t xml:space="preserve">THURSBY, </w:t>
      </w:r>
      <w:proofErr w:type="spellStart"/>
      <w:r w:rsidRPr="00C11CC2">
        <w:rPr>
          <w:rFonts w:eastAsia="Verdana" w:cs="Verdana"/>
          <w:lang w:val="pt-PT"/>
        </w:rPr>
        <w:t>Jerry</w:t>
      </w:r>
      <w:proofErr w:type="spellEnd"/>
      <w:r w:rsidRPr="00C11CC2">
        <w:rPr>
          <w:rFonts w:eastAsia="Verdana" w:cs="Verdana"/>
          <w:lang w:val="pt-PT"/>
        </w:rPr>
        <w:t xml:space="preserve"> G.; KEMP, </w:t>
      </w:r>
      <w:proofErr w:type="spellStart"/>
      <w:r w:rsidRPr="00C11CC2">
        <w:rPr>
          <w:rFonts w:eastAsia="Verdana" w:cs="Verdana"/>
          <w:lang w:val="pt-PT"/>
        </w:rPr>
        <w:t>Sukanya</w:t>
      </w:r>
      <w:proofErr w:type="spellEnd"/>
      <w:r w:rsidRPr="00C11CC2">
        <w:rPr>
          <w:rFonts w:eastAsia="Verdana" w:cs="Verdana"/>
          <w:lang w:val="pt-PT"/>
        </w:rPr>
        <w:t xml:space="preserve">. </w:t>
      </w:r>
      <w:r w:rsidRPr="00441B43">
        <w:rPr>
          <w:rFonts w:eastAsia="Verdana" w:cs="Verdana"/>
          <w:lang w:val="en-GB"/>
        </w:rPr>
        <w:t>Growth and productive efficiency of university intellectual property licensing. </w:t>
      </w:r>
      <w:r w:rsidRPr="00441B43">
        <w:rPr>
          <w:rFonts w:eastAsia="Verdana" w:cs="Verdana"/>
          <w:b/>
          <w:lang w:val="en-GB"/>
        </w:rPr>
        <w:t>Research policy</w:t>
      </w:r>
      <w:r w:rsidRPr="00441B43">
        <w:rPr>
          <w:rFonts w:eastAsia="Verdana" w:cs="Verdana"/>
          <w:lang w:val="en-GB"/>
        </w:rPr>
        <w:t>, v. 31, n. 1, p. 109-124, 2002.</w:t>
      </w:r>
    </w:p>
    <w:p w14:paraId="788F0CEC" w14:textId="77777777" w:rsidR="007B74EB" w:rsidRPr="00441B43" w:rsidRDefault="007B74EB" w:rsidP="00041113">
      <w:pPr>
        <w:spacing w:before="240" w:line="288" w:lineRule="auto"/>
        <w:rPr>
          <w:rFonts w:eastAsia="Verdana" w:cs="Verdana"/>
          <w:lang w:val="en-GB"/>
        </w:rPr>
      </w:pPr>
      <w:r w:rsidRPr="00441B43">
        <w:rPr>
          <w:rFonts w:eastAsia="Verdana" w:cs="Verdana"/>
          <w:lang w:val="en-GB"/>
        </w:rPr>
        <w:t xml:space="preserve">THURSBY, Jerry G.; THURSBY, Marie C. University licensing and the </w:t>
      </w:r>
      <w:proofErr w:type="spellStart"/>
      <w:r w:rsidRPr="00441B43">
        <w:rPr>
          <w:rFonts w:eastAsia="Verdana" w:cs="Verdana"/>
          <w:lang w:val="en-GB"/>
        </w:rPr>
        <w:t>Bayh</w:t>
      </w:r>
      <w:proofErr w:type="spellEnd"/>
      <w:r w:rsidRPr="00441B43">
        <w:rPr>
          <w:rFonts w:eastAsia="Verdana" w:cs="Verdana"/>
          <w:lang w:val="en-GB"/>
        </w:rPr>
        <w:t>-Dole act. </w:t>
      </w:r>
      <w:r w:rsidRPr="00441B43">
        <w:rPr>
          <w:rFonts w:eastAsia="Verdana" w:cs="Verdana"/>
          <w:b/>
          <w:lang w:val="en-GB"/>
        </w:rPr>
        <w:t>Science</w:t>
      </w:r>
      <w:r w:rsidRPr="00441B43">
        <w:rPr>
          <w:rFonts w:eastAsia="Verdana" w:cs="Verdana"/>
          <w:lang w:val="en-GB"/>
        </w:rPr>
        <w:t>, v. 301, n. 5636, p. 1052-1052, 2003.</w:t>
      </w:r>
    </w:p>
    <w:p w14:paraId="22EFBC09" w14:textId="77777777" w:rsidR="007B74EB" w:rsidRPr="00441B43" w:rsidRDefault="007B74EB" w:rsidP="00041113">
      <w:pPr>
        <w:spacing w:before="240" w:line="288" w:lineRule="auto"/>
        <w:rPr>
          <w:rFonts w:eastAsia="Verdana" w:cs="Verdana"/>
          <w:lang w:val="en-GB"/>
        </w:rPr>
      </w:pPr>
      <w:r w:rsidRPr="00441B43">
        <w:rPr>
          <w:rFonts w:eastAsia="Verdana" w:cs="Verdana"/>
          <w:lang w:val="en-GB"/>
        </w:rPr>
        <w:t xml:space="preserve">THURSBY, Jerry G.; THURSBY, Marie C. Has the </w:t>
      </w:r>
      <w:proofErr w:type="spellStart"/>
      <w:r w:rsidRPr="00441B43">
        <w:rPr>
          <w:rFonts w:eastAsia="Verdana" w:cs="Verdana"/>
          <w:lang w:val="en-GB"/>
        </w:rPr>
        <w:t>Bayh</w:t>
      </w:r>
      <w:proofErr w:type="spellEnd"/>
      <w:r w:rsidRPr="00441B43">
        <w:rPr>
          <w:rFonts w:eastAsia="Verdana" w:cs="Verdana"/>
          <w:lang w:val="en-GB"/>
        </w:rPr>
        <w:t xml:space="preserve">-Dole act compromised basic </w:t>
      </w:r>
      <w:proofErr w:type="gramStart"/>
      <w:r w:rsidRPr="00441B43">
        <w:rPr>
          <w:rFonts w:eastAsia="Verdana" w:cs="Verdana"/>
          <w:lang w:val="en-GB"/>
        </w:rPr>
        <w:t>research?.</w:t>
      </w:r>
      <w:proofErr w:type="gramEnd"/>
      <w:r w:rsidRPr="00441B43">
        <w:rPr>
          <w:rFonts w:eastAsia="Verdana" w:cs="Verdana"/>
          <w:lang w:val="en-GB"/>
        </w:rPr>
        <w:t> </w:t>
      </w:r>
      <w:r w:rsidRPr="00441B43">
        <w:rPr>
          <w:rFonts w:eastAsia="Verdana" w:cs="Verdana"/>
          <w:b/>
          <w:lang w:val="en-GB"/>
        </w:rPr>
        <w:t>Research Policy</w:t>
      </w:r>
      <w:r w:rsidRPr="00441B43">
        <w:rPr>
          <w:rFonts w:eastAsia="Verdana" w:cs="Verdana"/>
          <w:lang w:val="en-GB"/>
        </w:rPr>
        <w:t>, v. 40, n. 8, p. 1077-1083, 2011.</w:t>
      </w:r>
    </w:p>
    <w:p w14:paraId="3ABE3858" w14:textId="620D7A50" w:rsidR="00404A85" w:rsidRDefault="007B74EB" w:rsidP="00041113">
      <w:pPr>
        <w:spacing w:before="240" w:line="288" w:lineRule="auto"/>
        <w:rPr>
          <w:rFonts w:eastAsia="Verdana" w:cs="Verdana"/>
          <w:lang w:val="en-GB"/>
        </w:rPr>
      </w:pPr>
      <w:r w:rsidRPr="00441B43">
        <w:rPr>
          <w:rFonts w:eastAsia="Verdana" w:cs="Verdana"/>
          <w:lang w:val="en-GB"/>
        </w:rPr>
        <w:t>TOLLEFSON, Jeff. What the rise of ‘</w:t>
      </w:r>
      <w:proofErr w:type="spellStart"/>
      <w:r w:rsidRPr="00441B43">
        <w:rPr>
          <w:rFonts w:eastAsia="Verdana" w:cs="Verdana"/>
          <w:lang w:val="en-GB"/>
        </w:rPr>
        <w:t>arpa-everything’will</w:t>
      </w:r>
      <w:proofErr w:type="spellEnd"/>
      <w:r w:rsidRPr="00441B43">
        <w:rPr>
          <w:rFonts w:eastAsia="Verdana" w:cs="Verdana"/>
          <w:lang w:val="en-GB"/>
        </w:rPr>
        <w:t xml:space="preserve"> mean for science. </w:t>
      </w:r>
      <w:r w:rsidRPr="00441B43">
        <w:rPr>
          <w:rFonts w:eastAsia="Verdana" w:cs="Verdana"/>
          <w:b/>
          <w:lang w:val="en-GB"/>
        </w:rPr>
        <w:t>Nature</w:t>
      </w:r>
      <w:r w:rsidRPr="00441B43">
        <w:rPr>
          <w:rFonts w:eastAsia="Verdana" w:cs="Verdana"/>
          <w:lang w:val="en-GB"/>
        </w:rPr>
        <w:t>, v. 595, p. 483-484, 2021.</w:t>
      </w:r>
    </w:p>
    <w:p w14:paraId="597EB2E0" w14:textId="6C654938" w:rsidR="007B74EB" w:rsidRPr="00441B43" w:rsidRDefault="1EC088E9" w:rsidP="2D5C803A">
      <w:pPr>
        <w:spacing w:before="0" w:after="160"/>
        <w:rPr>
          <w:rFonts w:eastAsia="Verdana" w:cs="Verdana"/>
          <w:lang w:val="en-GB"/>
        </w:rPr>
      </w:pPr>
      <w:r w:rsidRPr="00441B43">
        <w:rPr>
          <w:rFonts w:eastAsia="Verdana" w:cs="Verdana"/>
          <w:lang w:val="en-GB"/>
        </w:rPr>
        <w:t xml:space="preserve">PERLITZ, M.; PESKE, T.; SCHRANK, R. Real options valuation: the new frontier in R&amp;D project evaluation? </w:t>
      </w:r>
      <w:r w:rsidRPr="00441B43">
        <w:rPr>
          <w:rFonts w:eastAsia="Verdana" w:cs="Verdana"/>
          <w:b/>
          <w:bCs/>
          <w:lang w:val="en-GB"/>
        </w:rPr>
        <w:t>R&amp;D Management</w:t>
      </w:r>
      <w:r w:rsidRPr="00441B43">
        <w:rPr>
          <w:rFonts w:eastAsia="Verdana" w:cs="Verdana"/>
          <w:lang w:val="en-GB"/>
        </w:rPr>
        <w:t>, v. 29, n. 3, p. 255–270, 1999.</w:t>
      </w:r>
    </w:p>
    <w:p w14:paraId="19857E1F" w14:textId="01C8B74C" w:rsidR="007B74EB" w:rsidRPr="00441B43" w:rsidRDefault="1EC088E9" w:rsidP="2D5C803A">
      <w:pPr>
        <w:spacing w:before="0" w:after="160"/>
        <w:rPr>
          <w:rFonts w:eastAsia="Verdana" w:cs="Verdana"/>
          <w:lang w:val="en-GB"/>
        </w:rPr>
      </w:pPr>
      <w:r w:rsidRPr="00441B43">
        <w:rPr>
          <w:rFonts w:eastAsia="Verdana" w:cs="Verdana"/>
          <w:lang w:val="en-GB"/>
        </w:rPr>
        <w:t xml:space="preserve">PITKETHLY, R. The Valuation of Patents: A review of patent valuation methods with consideration of option-based methods and the potential for further research. </w:t>
      </w:r>
      <w:r w:rsidRPr="00441B43">
        <w:rPr>
          <w:rFonts w:eastAsia="Verdana" w:cs="Verdana"/>
          <w:b/>
          <w:bCs/>
          <w:lang w:val="en-GB"/>
        </w:rPr>
        <w:t>Judge Institute Working Paper</w:t>
      </w:r>
      <w:r w:rsidRPr="00441B43">
        <w:rPr>
          <w:rFonts w:eastAsia="Verdana" w:cs="Verdana"/>
          <w:lang w:val="en-GB"/>
        </w:rPr>
        <w:t>, p. 32, 1997.</w:t>
      </w:r>
    </w:p>
    <w:p w14:paraId="7A4E8013" w14:textId="32F7E3DD" w:rsidR="007B74EB" w:rsidRPr="00441B43" w:rsidRDefault="1EC088E9" w:rsidP="2D5C803A">
      <w:pPr>
        <w:spacing w:before="0" w:after="160"/>
        <w:rPr>
          <w:rFonts w:eastAsia="Verdana" w:cs="Verdana"/>
          <w:lang w:val="en-GB"/>
        </w:rPr>
      </w:pPr>
      <w:r w:rsidRPr="00441B43">
        <w:rPr>
          <w:rFonts w:eastAsia="Verdana" w:cs="Verdana"/>
          <w:lang w:val="en-GB"/>
        </w:rPr>
        <w:t xml:space="preserve">POTTER, R. H. Technology Valuation: An Introduction. In: </w:t>
      </w:r>
      <w:r w:rsidRPr="00441B43">
        <w:rPr>
          <w:rFonts w:eastAsia="Verdana" w:cs="Verdana"/>
          <w:b/>
          <w:bCs/>
          <w:lang w:val="en-GB"/>
        </w:rPr>
        <w:t>Intellectual Property Management in Health and Agricultural Innovation: A handbook of best practices</w:t>
      </w:r>
      <w:r w:rsidRPr="00441B43">
        <w:rPr>
          <w:rFonts w:eastAsia="Verdana" w:cs="Verdana"/>
          <w:lang w:val="en-GB"/>
        </w:rPr>
        <w:t>. [</w:t>
      </w:r>
      <w:proofErr w:type="spellStart"/>
      <w:r w:rsidRPr="00441B43">
        <w:rPr>
          <w:rFonts w:eastAsia="Verdana" w:cs="Verdana"/>
          <w:lang w:val="en-GB"/>
        </w:rPr>
        <w:t>s.l.</w:t>
      </w:r>
      <w:proofErr w:type="spellEnd"/>
      <w:r w:rsidRPr="00441B43">
        <w:rPr>
          <w:rFonts w:eastAsia="Verdana" w:cs="Verdana"/>
          <w:lang w:val="en-GB"/>
        </w:rPr>
        <w:t>] MIHR: Oxford, U.K., e PIPRA: Davis, California, U.S.A., 2007. v. 1p. 795–804.</w:t>
      </w:r>
    </w:p>
    <w:p w14:paraId="5AAB562C" w14:textId="5C2A2606" w:rsidR="007B74EB" w:rsidRPr="00441B43" w:rsidRDefault="1EC088E9" w:rsidP="2D5C803A">
      <w:pPr>
        <w:spacing w:before="0" w:after="160"/>
        <w:rPr>
          <w:rFonts w:eastAsia="Verdana" w:cs="Verdana"/>
          <w:lang w:val="en-GB"/>
        </w:rPr>
      </w:pPr>
      <w:r w:rsidRPr="00441B43">
        <w:rPr>
          <w:rFonts w:eastAsia="Verdana" w:cs="Verdana"/>
          <w:lang w:val="en-GB"/>
        </w:rPr>
        <w:t xml:space="preserve">RAPPAPORT, A. Selecting Strategies That Create Shareholder Value. </w:t>
      </w:r>
      <w:r w:rsidRPr="00441B43">
        <w:rPr>
          <w:rFonts w:eastAsia="Verdana" w:cs="Verdana"/>
          <w:b/>
          <w:bCs/>
          <w:lang w:val="en-GB"/>
        </w:rPr>
        <w:t>Harvard Business Review</w:t>
      </w:r>
      <w:r w:rsidRPr="00441B43">
        <w:rPr>
          <w:rFonts w:eastAsia="Verdana" w:cs="Verdana"/>
          <w:lang w:val="en-GB"/>
        </w:rPr>
        <w:t>, v. 59, n. 3, p. 139–149, 1981.</w:t>
      </w:r>
    </w:p>
    <w:p w14:paraId="031EB303" w14:textId="61B1D455" w:rsidR="007B74EB" w:rsidRPr="00441B43" w:rsidRDefault="1EC088E9" w:rsidP="2D5C803A">
      <w:pPr>
        <w:spacing w:before="0" w:after="160"/>
        <w:rPr>
          <w:rFonts w:eastAsia="Verdana" w:cs="Verdana"/>
          <w:lang w:val="en-GB"/>
        </w:rPr>
      </w:pPr>
      <w:r w:rsidRPr="00441B43">
        <w:rPr>
          <w:rFonts w:eastAsia="Verdana" w:cs="Verdana"/>
          <w:lang w:val="en-GB"/>
        </w:rPr>
        <w:lastRenderedPageBreak/>
        <w:t xml:space="preserve">RAZGAITIS, R. Pricing the Intellectual Property of Early-Stage Technologies: A Primer of Basic Valuation Tools and Considerations. In: </w:t>
      </w:r>
      <w:r w:rsidRPr="00441B43">
        <w:rPr>
          <w:rFonts w:eastAsia="Verdana" w:cs="Verdana"/>
          <w:b/>
          <w:bCs/>
          <w:lang w:val="en-GB"/>
        </w:rPr>
        <w:t>Intellectual Property Management in Health and Agricultural Innovation: A handbook of best practices</w:t>
      </w:r>
      <w:r w:rsidRPr="00441B43">
        <w:rPr>
          <w:rFonts w:eastAsia="Verdana" w:cs="Verdana"/>
          <w:lang w:val="en-GB"/>
        </w:rPr>
        <w:t>. [</w:t>
      </w:r>
      <w:proofErr w:type="spellStart"/>
      <w:r w:rsidRPr="00441B43">
        <w:rPr>
          <w:rFonts w:eastAsia="Verdana" w:cs="Verdana"/>
          <w:lang w:val="en-GB"/>
        </w:rPr>
        <w:t>s.l.</w:t>
      </w:r>
      <w:proofErr w:type="spellEnd"/>
      <w:r w:rsidRPr="00441B43">
        <w:rPr>
          <w:rFonts w:eastAsia="Verdana" w:cs="Verdana"/>
          <w:lang w:val="en-GB"/>
        </w:rPr>
        <w:t>] MIHR: Oxford, U.K., e PIPRA: Davis, California, U.S.A., 2007. v. 1p. 813–860.</w:t>
      </w:r>
    </w:p>
    <w:p w14:paraId="1852E3AD" w14:textId="0EC92BFE" w:rsidR="007B74EB" w:rsidRPr="00441B43" w:rsidRDefault="1EC088E9" w:rsidP="2D5C803A">
      <w:pPr>
        <w:spacing w:before="0" w:after="160"/>
        <w:rPr>
          <w:rFonts w:eastAsia="Verdana" w:cs="Verdana"/>
          <w:lang w:val="en-GB"/>
        </w:rPr>
      </w:pPr>
      <w:r w:rsidRPr="00441B43">
        <w:rPr>
          <w:rFonts w:eastAsia="Verdana" w:cs="Verdana"/>
          <w:lang w:val="en-GB"/>
        </w:rPr>
        <w:t>REILLY, Robert. Relief from Royalty Method of Intellectual Property Valuations. </w:t>
      </w:r>
      <w:r w:rsidRPr="00441B43">
        <w:rPr>
          <w:rFonts w:eastAsia="Verdana" w:cs="Verdana"/>
          <w:b/>
          <w:bCs/>
          <w:lang w:val="en-GB"/>
        </w:rPr>
        <w:t>les Nouvelles-Journal of the Licensing Executives Society</w:t>
      </w:r>
      <w:r w:rsidRPr="00441B43">
        <w:rPr>
          <w:rFonts w:eastAsia="Verdana" w:cs="Verdana"/>
          <w:lang w:val="en-GB"/>
        </w:rPr>
        <w:t>, v. 57, n. 1, 2022.</w:t>
      </w:r>
    </w:p>
    <w:p w14:paraId="0D0E31A6" w14:textId="3562DF78" w:rsidR="007B74EB" w:rsidRPr="00FF7074" w:rsidRDefault="1EC088E9" w:rsidP="2D5C803A">
      <w:pPr>
        <w:spacing w:before="0" w:after="160"/>
        <w:rPr>
          <w:rFonts w:eastAsia="Verdana" w:cs="Verdana"/>
          <w:lang w:val="pt-PT"/>
        </w:rPr>
      </w:pPr>
      <w:r w:rsidRPr="00FF7074">
        <w:rPr>
          <w:rFonts w:eastAsia="Verdana" w:cs="Verdana"/>
          <w:lang w:val="pt-PT"/>
        </w:rPr>
        <w:t xml:space="preserve">RODRIGUES, P. H. DA F. </w:t>
      </w:r>
      <w:proofErr w:type="spellStart"/>
      <w:r w:rsidRPr="00FF7074">
        <w:rPr>
          <w:rFonts w:eastAsia="Verdana" w:cs="Verdana"/>
          <w:lang w:val="pt-PT"/>
        </w:rPr>
        <w:t>et</w:t>
      </w:r>
      <w:proofErr w:type="spellEnd"/>
      <w:r w:rsidRPr="00FF7074">
        <w:rPr>
          <w:rFonts w:eastAsia="Verdana" w:cs="Verdana"/>
          <w:lang w:val="pt-PT"/>
        </w:rPr>
        <w:t xml:space="preserve"> al. Avaliação de empresas start-up por Opções Reais: o caso do setor de biotecnologia. </w:t>
      </w:r>
      <w:r w:rsidRPr="00FF7074">
        <w:rPr>
          <w:rFonts w:eastAsia="Verdana" w:cs="Verdana"/>
          <w:b/>
          <w:bCs/>
          <w:lang w:val="pt-PT"/>
        </w:rPr>
        <w:t>Gestão &amp;</w:t>
      </w:r>
      <w:proofErr w:type="spellStart"/>
      <w:r w:rsidRPr="00FF7074">
        <w:rPr>
          <w:rFonts w:eastAsia="Verdana" w:cs="Verdana"/>
          <w:b/>
          <w:bCs/>
          <w:lang w:val="pt-PT"/>
        </w:rPr>
        <w:t>amp</w:t>
      </w:r>
      <w:proofErr w:type="spellEnd"/>
      <w:r w:rsidRPr="00FF7074">
        <w:rPr>
          <w:rFonts w:eastAsia="Verdana" w:cs="Verdana"/>
          <w:b/>
          <w:bCs/>
          <w:lang w:val="pt-PT"/>
        </w:rPr>
        <w:t>; Produção</w:t>
      </w:r>
      <w:r w:rsidRPr="00FF7074">
        <w:rPr>
          <w:rFonts w:eastAsia="Verdana" w:cs="Verdana"/>
          <w:lang w:val="pt-PT"/>
        </w:rPr>
        <w:t>, v. 20, n. 3, p. 511–523, 2013.</w:t>
      </w:r>
    </w:p>
    <w:p w14:paraId="7DB72826" w14:textId="143F3FF5" w:rsidR="007B74EB" w:rsidRPr="00FF7074" w:rsidRDefault="1EC088E9" w:rsidP="2D5C803A">
      <w:pPr>
        <w:spacing w:before="0" w:after="160"/>
        <w:rPr>
          <w:rFonts w:eastAsia="Verdana" w:cs="Verdana"/>
          <w:lang w:val="pt-PT"/>
        </w:rPr>
      </w:pPr>
      <w:r w:rsidRPr="00FF7074">
        <w:rPr>
          <w:rFonts w:eastAsia="Verdana" w:cs="Verdana"/>
          <w:lang w:val="pt-PT"/>
        </w:rPr>
        <w:t xml:space="preserve">SCHWARTZ, E. S. Patents </w:t>
      </w:r>
      <w:proofErr w:type="spellStart"/>
      <w:r w:rsidRPr="00FF7074">
        <w:rPr>
          <w:rFonts w:eastAsia="Verdana" w:cs="Verdana"/>
          <w:lang w:val="pt-PT"/>
        </w:rPr>
        <w:t>and</w:t>
      </w:r>
      <w:proofErr w:type="spellEnd"/>
      <w:r w:rsidRPr="00FF7074">
        <w:rPr>
          <w:rFonts w:eastAsia="Verdana" w:cs="Verdana"/>
          <w:lang w:val="pt-PT"/>
        </w:rPr>
        <w:t xml:space="preserve"> R&amp;D as Real </w:t>
      </w:r>
      <w:proofErr w:type="spellStart"/>
      <w:r w:rsidRPr="00FF7074">
        <w:rPr>
          <w:rFonts w:eastAsia="Verdana" w:cs="Verdana"/>
          <w:lang w:val="pt-PT"/>
        </w:rPr>
        <w:t>Options</w:t>
      </w:r>
      <w:proofErr w:type="spellEnd"/>
      <w:r w:rsidRPr="00FF7074">
        <w:rPr>
          <w:rFonts w:eastAsia="Verdana" w:cs="Verdana"/>
          <w:lang w:val="pt-PT"/>
        </w:rPr>
        <w:t xml:space="preserve">. </w:t>
      </w:r>
      <w:proofErr w:type="spellStart"/>
      <w:r w:rsidRPr="00FF7074">
        <w:rPr>
          <w:rFonts w:eastAsia="Verdana" w:cs="Verdana"/>
          <w:b/>
          <w:bCs/>
          <w:lang w:val="pt-PT"/>
        </w:rPr>
        <w:t>Economic</w:t>
      </w:r>
      <w:proofErr w:type="spellEnd"/>
      <w:r w:rsidRPr="00FF7074">
        <w:rPr>
          <w:rFonts w:eastAsia="Verdana" w:cs="Verdana"/>
          <w:b/>
          <w:bCs/>
          <w:lang w:val="pt-PT"/>
        </w:rPr>
        <w:t xml:space="preserve"> Notes</w:t>
      </w:r>
      <w:r w:rsidRPr="00FF7074">
        <w:rPr>
          <w:rFonts w:eastAsia="Verdana" w:cs="Verdana"/>
          <w:lang w:val="pt-PT"/>
        </w:rPr>
        <w:t>, v. 33, n. 1, p. 23–54, 2004.</w:t>
      </w:r>
    </w:p>
    <w:p w14:paraId="6519E800" w14:textId="4483B336" w:rsidR="007B74EB" w:rsidRPr="00441B43" w:rsidRDefault="1EC088E9" w:rsidP="2D5C803A">
      <w:pPr>
        <w:spacing w:before="0" w:after="160"/>
        <w:rPr>
          <w:rFonts w:eastAsia="Verdana" w:cs="Verdana"/>
          <w:lang w:val="en-GB"/>
        </w:rPr>
      </w:pPr>
      <w:r w:rsidRPr="00441B43">
        <w:rPr>
          <w:rFonts w:eastAsia="Verdana" w:cs="Verdana"/>
          <w:lang w:val="en-GB"/>
        </w:rPr>
        <w:t xml:space="preserve">SHOCKLEY, R. L. et al. The Option Value of an Early-Stage Biotechnology Investment. </w:t>
      </w:r>
      <w:r w:rsidRPr="00441B43">
        <w:rPr>
          <w:rFonts w:eastAsia="Verdana" w:cs="Verdana"/>
          <w:b/>
          <w:bCs/>
          <w:lang w:val="en-GB"/>
        </w:rPr>
        <w:t>Journal of Applied Corporate Finance</w:t>
      </w:r>
      <w:r w:rsidRPr="00441B43">
        <w:rPr>
          <w:rFonts w:eastAsia="Verdana" w:cs="Verdana"/>
          <w:lang w:val="en-GB"/>
        </w:rPr>
        <w:t>, v. 15, n. 2, p. 44–55, 2002.</w:t>
      </w:r>
    </w:p>
    <w:p w14:paraId="5AEA541C" w14:textId="6577C854" w:rsidR="007B74EB" w:rsidRPr="00441B43" w:rsidRDefault="1EC088E9" w:rsidP="2D5C803A">
      <w:pPr>
        <w:spacing w:before="0" w:after="160"/>
        <w:rPr>
          <w:rFonts w:eastAsia="Verdana" w:cs="Verdana"/>
          <w:lang w:val="en-GB"/>
        </w:rPr>
      </w:pPr>
      <w:r w:rsidRPr="00441B43">
        <w:rPr>
          <w:rFonts w:eastAsia="Verdana" w:cs="Verdana"/>
          <w:lang w:val="en-GB"/>
        </w:rPr>
        <w:t xml:space="preserve">STEVENS, A. J. </w:t>
      </w:r>
      <w:r w:rsidRPr="00441B43">
        <w:rPr>
          <w:rFonts w:eastAsia="Verdana" w:cs="Verdana"/>
          <w:b/>
          <w:bCs/>
          <w:lang w:val="en-GB"/>
        </w:rPr>
        <w:t>Intellectual property valuation manual for academic institutions</w:t>
      </w:r>
      <w:r w:rsidRPr="00441B43">
        <w:rPr>
          <w:rFonts w:eastAsia="Verdana" w:cs="Verdana"/>
          <w:lang w:val="en-GB"/>
        </w:rPr>
        <w:t>. Geneva: World Intellectual Property Organization. Committee on Development and Intellectual Property (CDIP), 2016.</w:t>
      </w:r>
    </w:p>
    <w:p w14:paraId="3B974AF3" w14:textId="518B0341" w:rsidR="007B74EB" w:rsidRPr="00441B43" w:rsidRDefault="1EC088E9" w:rsidP="2D5C803A">
      <w:pPr>
        <w:spacing w:before="0" w:after="160"/>
        <w:rPr>
          <w:rFonts w:eastAsia="Verdana" w:cs="Verdana"/>
          <w:lang w:val="en-GB"/>
        </w:rPr>
      </w:pPr>
      <w:r w:rsidRPr="00441B43">
        <w:rPr>
          <w:rFonts w:eastAsia="Verdana" w:cs="Verdana"/>
          <w:lang w:val="en-GB"/>
        </w:rPr>
        <w:t xml:space="preserve">VILLIGER, R.; BOGDAN, B. Getting real about valuations in biotech. </w:t>
      </w:r>
      <w:r w:rsidRPr="00441B43">
        <w:rPr>
          <w:rFonts w:eastAsia="Verdana" w:cs="Verdana"/>
          <w:b/>
          <w:bCs/>
          <w:lang w:val="en-GB"/>
        </w:rPr>
        <w:t>Nature Biotechnology</w:t>
      </w:r>
      <w:r w:rsidRPr="00441B43">
        <w:rPr>
          <w:rFonts w:eastAsia="Verdana" w:cs="Verdana"/>
          <w:lang w:val="en-GB"/>
        </w:rPr>
        <w:t>, v. 23, n. 4, p. 423–428, 2005.</w:t>
      </w:r>
    </w:p>
    <w:p w14:paraId="4D596FBE" w14:textId="78801101" w:rsidR="007B74EB" w:rsidRPr="00441B43" w:rsidRDefault="1EC088E9" w:rsidP="007B74EB">
      <w:pPr>
        <w:spacing w:before="0" w:line="259" w:lineRule="auto"/>
        <w:rPr>
          <w:rFonts w:eastAsia="Verdana" w:cs="Verdana"/>
          <w:color w:val="000000"/>
          <w:lang w:val="en-GB"/>
        </w:rPr>
      </w:pPr>
      <w:r w:rsidRPr="00441B43">
        <w:rPr>
          <w:rFonts w:eastAsia="Verdana" w:cs="Verdana"/>
          <w:color w:val="000000"/>
          <w:lang w:val="en-GB"/>
        </w:rPr>
        <w:t xml:space="preserve">VILLIGER, R.; BOGDAN, B. Pitfalls of valuation in biotech. </w:t>
      </w:r>
      <w:r w:rsidRPr="00441B43">
        <w:rPr>
          <w:rFonts w:eastAsia="Verdana" w:cs="Verdana"/>
          <w:b/>
          <w:bCs/>
          <w:color w:val="000000"/>
          <w:lang w:val="en-GB"/>
        </w:rPr>
        <w:t>Journal of Commercial Biotechnology</w:t>
      </w:r>
      <w:r w:rsidRPr="00441B43">
        <w:rPr>
          <w:rFonts w:eastAsia="Verdana" w:cs="Verdana"/>
          <w:color w:val="000000"/>
          <w:lang w:val="en-GB"/>
        </w:rPr>
        <w:t>, v. 12, n. 3, p. 175–181, 2006.</w:t>
      </w:r>
      <w:r w:rsidR="007B74EB" w:rsidRPr="00441B43">
        <w:rPr>
          <w:lang w:val="en-GB"/>
        </w:rPr>
        <w:br/>
      </w:r>
    </w:p>
    <w:p w14:paraId="5F0299F5" w14:textId="5F4BC0B3" w:rsidR="2D5C803A" w:rsidRPr="00441B43" w:rsidRDefault="2D5C803A" w:rsidP="2D5C803A">
      <w:pPr>
        <w:spacing w:before="0" w:line="259" w:lineRule="auto"/>
        <w:rPr>
          <w:lang w:val="en-GB"/>
        </w:rPr>
      </w:pPr>
    </w:p>
    <w:p w14:paraId="5B896AEB" w14:textId="26D35892" w:rsidR="007B74EB" w:rsidRPr="00441B43" w:rsidRDefault="00F91788" w:rsidP="00F91788">
      <w:pPr>
        <w:spacing w:before="0" w:line="259" w:lineRule="auto"/>
        <w:ind w:firstLine="0"/>
        <w:rPr>
          <w:u w:val="single"/>
          <w:lang w:val="en-GB"/>
        </w:rPr>
      </w:pPr>
      <w:proofErr w:type="spellStart"/>
      <w:r w:rsidRPr="00441B43">
        <w:rPr>
          <w:u w:val="single"/>
          <w:lang w:val="en-GB"/>
        </w:rPr>
        <w:t>Páginas</w:t>
      </w:r>
      <w:proofErr w:type="spellEnd"/>
      <w:r w:rsidRPr="00441B43">
        <w:rPr>
          <w:u w:val="single"/>
          <w:lang w:val="en-GB"/>
        </w:rPr>
        <w:t xml:space="preserve"> de Internet</w:t>
      </w:r>
    </w:p>
    <w:p w14:paraId="17B00025" w14:textId="56025013" w:rsidR="002F48B9" w:rsidRPr="00441B43" w:rsidRDefault="002F48B9" w:rsidP="002F48B9">
      <w:pPr>
        <w:spacing w:before="0" w:line="259" w:lineRule="auto"/>
        <w:ind w:firstLine="0"/>
        <w:rPr>
          <w:u w:val="single"/>
          <w:lang w:val="en-GB"/>
        </w:rPr>
      </w:pPr>
    </w:p>
    <w:p w14:paraId="580BE0F4" w14:textId="77777777" w:rsidR="00A00C35" w:rsidRPr="00FF7074" w:rsidRDefault="00A00C35" w:rsidP="00041113">
      <w:pPr>
        <w:spacing w:before="240" w:line="288" w:lineRule="auto"/>
        <w:rPr>
          <w:rFonts w:eastAsia="Verdana" w:cs="Verdana"/>
          <w:lang w:val="pt-PT"/>
        </w:rPr>
      </w:pPr>
      <w:r w:rsidRPr="00441B43">
        <w:rPr>
          <w:rFonts w:eastAsia="Verdana" w:cs="Verdana"/>
          <w:lang w:val="en-GB"/>
        </w:rPr>
        <w:t xml:space="preserve">CARNEGIE MELLON UNIVERSITY. Intellectual Property Policy. </w:t>
      </w:r>
      <w:proofErr w:type="spellStart"/>
      <w:r w:rsidRPr="00441B43">
        <w:rPr>
          <w:rFonts w:eastAsia="Verdana" w:cs="Verdana"/>
          <w:lang w:val="en-GB"/>
        </w:rPr>
        <w:t>Disponível</w:t>
      </w:r>
      <w:proofErr w:type="spellEnd"/>
      <w:r w:rsidRPr="00441B43">
        <w:rPr>
          <w:rFonts w:eastAsia="Verdana" w:cs="Verdana"/>
          <w:lang w:val="en-GB"/>
        </w:rPr>
        <w:t xml:space="preserve"> </w:t>
      </w:r>
      <w:proofErr w:type="spellStart"/>
      <w:r w:rsidRPr="00441B43">
        <w:rPr>
          <w:rFonts w:eastAsia="Verdana" w:cs="Verdana"/>
          <w:lang w:val="en-GB"/>
        </w:rPr>
        <w:t>em</w:t>
      </w:r>
      <w:proofErr w:type="spellEnd"/>
      <w:r w:rsidRPr="00441B43">
        <w:rPr>
          <w:rFonts w:eastAsia="Verdana" w:cs="Verdana"/>
          <w:lang w:val="en-GB"/>
        </w:rPr>
        <w:t>: &lt;</w:t>
      </w:r>
      <w:hyperlink r:id="rId37">
        <w:r w:rsidRPr="00441B43">
          <w:rPr>
            <w:rStyle w:val="Hiperligao"/>
            <w:rFonts w:eastAsia="Verdana" w:cs="Verdana"/>
            <w:lang w:val="en-GB"/>
          </w:rPr>
          <w:t>https://www.cmu.edu/policies/administrative-and-governance/intellectual-property.html</w:t>
        </w:r>
      </w:hyperlink>
      <w:r w:rsidRPr="00441B43">
        <w:rPr>
          <w:rFonts w:eastAsia="Verdana" w:cs="Verdana"/>
          <w:lang w:val="en-GB"/>
        </w:rPr>
        <w:t xml:space="preserve">&gt;. </w:t>
      </w:r>
      <w:r w:rsidRPr="00FF7074">
        <w:rPr>
          <w:rFonts w:eastAsia="Verdana" w:cs="Verdana"/>
          <w:lang w:val="pt-PT"/>
        </w:rPr>
        <w:t>Data de acesso: 07/06/2023.</w:t>
      </w:r>
    </w:p>
    <w:p w14:paraId="5AC1DDA9" w14:textId="1639093D" w:rsidR="00A00C35" w:rsidRPr="00FF7074" w:rsidRDefault="00CB1553" w:rsidP="00041113">
      <w:pPr>
        <w:spacing w:before="240" w:line="288" w:lineRule="auto"/>
        <w:rPr>
          <w:rFonts w:eastAsia="Verdana" w:cs="Verdana"/>
          <w:lang w:val="pt-PT"/>
        </w:rPr>
      </w:pPr>
      <w:r w:rsidRPr="00FF7074">
        <w:rPr>
          <w:rFonts w:eastAsia="Verdana" w:cs="Verdana"/>
          <w:lang w:val="pt-PT"/>
        </w:rPr>
        <w:t xml:space="preserve">CARNEGIE MELLON UNIVERSITY. </w:t>
      </w:r>
      <w:proofErr w:type="spellStart"/>
      <w:r w:rsidR="00A00C35" w:rsidRPr="00FF7074">
        <w:rPr>
          <w:rFonts w:eastAsia="Verdana" w:cs="Verdana"/>
          <w:lang w:val="pt-PT"/>
        </w:rPr>
        <w:t>The</w:t>
      </w:r>
      <w:proofErr w:type="spellEnd"/>
      <w:r w:rsidR="00A00C35" w:rsidRPr="00FF7074">
        <w:rPr>
          <w:rFonts w:eastAsia="Verdana" w:cs="Verdana"/>
          <w:lang w:val="pt-PT"/>
        </w:rPr>
        <w:t xml:space="preserve"> CTTEC </w:t>
      </w:r>
      <w:proofErr w:type="spellStart"/>
      <w:r w:rsidR="00A00C35" w:rsidRPr="00FF7074">
        <w:rPr>
          <w:rFonts w:eastAsia="Verdana" w:cs="Verdana"/>
          <w:lang w:val="pt-PT"/>
        </w:rPr>
        <w:t>Process</w:t>
      </w:r>
      <w:proofErr w:type="spellEnd"/>
      <w:r w:rsidR="00A00C35" w:rsidRPr="00FF7074">
        <w:rPr>
          <w:rFonts w:eastAsia="Verdana" w:cs="Verdana"/>
          <w:lang w:val="pt-PT"/>
        </w:rPr>
        <w:t>. Disponível em: &lt;</w:t>
      </w:r>
      <w:hyperlink r:id="rId38">
        <w:r w:rsidR="00A00C35" w:rsidRPr="00FF7074">
          <w:rPr>
            <w:rStyle w:val="Hiperligao"/>
            <w:rFonts w:eastAsia="Verdana" w:cs="Verdana"/>
            <w:lang w:val="pt-PT"/>
          </w:rPr>
          <w:t>https://www.cmu.edu/cttec/cttec-process/index.html</w:t>
        </w:r>
      </w:hyperlink>
      <w:r w:rsidR="00A00C35" w:rsidRPr="00FF7074">
        <w:rPr>
          <w:rFonts w:eastAsia="Verdana" w:cs="Verdana"/>
          <w:lang w:val="pt-PT"/>
        </w:rPr>
        <w:t>&gt;. Data de acesso: 07/06/2023.</w:t>
      </w:r>
    </w:p>
    <w:p w14:paraId="5A61813F" w14:textId="77777777" w:rsidR="00A00C35" w:rsidRPr="00FF7074" w:rsidRDefault="00A00C35" w:rsidP="00041113">
      <w:pPr>
        <w:spacing w:before="240" w:line="288" w:lineRule="auto"/>
        <w:rPr>
          <w:rFonts w:eastAsia="Verdana" w:cs="Verdana"/>
          <w:lang w:val="pt-PT"/>
        </w:rPr>
      </w:pPr>
      <w:r w:rsidRPr="00FF7074">
        <w:rPr>
          <w:rFonts w:eastAsia="Verdana" w:cs="Verdana"/>
          <w:lang w:val="pt-PT"/>
        </w:rPr>
        <w:t xml:space="preserve">COMISSÃO EUROPEIA. </w:t>
      </w:r>
      <w:proofErr w:type="spellStart"/>
      <w:r w:rsidRPr="00FF7074">
        <w:rPr>
          <w:rFonts w:eastAsia="Verdana" w:cs="Verdana"/>
          <w:lang w:val="pt-PT"/>
        </w:rPr>
        <w:t>Horizon</w:t>
      </w:r>
      <w:proofErr w:type="spellEnd"/>
      <w:r w:rsidRPr="00FF7074">
        <w:rPr>
          <w:rFonts w:eastAsia="Verdana" w:cs="Verdana"/>
          <w:lang w:val="pt-PT"/>
        </w:rPr>
        <w:t xml:space="preserve"> 2020 country </w:t>
      </w:r>
      <w:proofErr w:type="spellStart"/>
      <w:r w:rsidRPr="00FF7074">
        <w:rPr>
          <w:rFonts w:eastAsia="Verdana" w:cs="Verdana"/>
          <w:lang w:val="pt-PT"/>
        </w:rPr>
        <w:t>profiles</w:t>
      </w:r>
      <w:proofErr w:type="spellEnd"/>
      <w:r w:rsidRPr="00FF7074">
        <w:rPr>
          <w:rFonts w:eastAsia="Verdana" w:cs="Verdana"/>
          <w:lang w:val="pt-PT"/>
        </w:rPr>
        <w:t>. Disponível em: &lt;</w:t>
      </w:r>
      <w:hyperlink r:id="rId39">
        <w:r w:rsidRPr="00FF7074">
          <w:rPr>
            <w:rStyle w:val="Hiperligao"/>
            <w:rFonts w:eastAsia="Verdana" w:cs="Verdana"/>
            <w:lang w:val="pt-PT"/>
          </w:rPr>
          <w:t>https://webgate.ec.europa.eu/dashboard/sense/app/a976d168-2023-41d8-acec-e77640154726/sheet/0c8af38b-b73c-4da2-ba41-73ea34ab7ac4/state/analysis/select/Country/Portugal</w:t>
        </w:r>
      </w:hyperlink>
      <w:r w:rsidRPr="00FF7074">
        <w:rPr>
          <w:rStyle w:val="Hiperligao"/>
          <w:rFonts w:eastAsia="Verdana" w:cs="Verdana"/>
          <w:lang w:val="pt-PT"/>
        </w:rPr>
        <w:t>&gt;</w:t>
      </w:r>
      <w:r w:rsidRPr="00FF7074">
        <w:rPr>
          <w:rFonts w:eastAsia="Verdana" w:cs="Verdana"/>
          <w:lang w:val="pt-PT"/>
        </w:rPr>
        <w:t xml:space="preserve"> Data de acesso: 31 de maio de 2023.</w:t>
      </w:r>
    </w:p>
    <w:p w14:paraId="14A5673C" w14:textId="77777777" w:rsidR="00A00C35" w:rsidRPr="00FF7074" w:rsidRDefault="00A00C35" w:rsidP="00041113">
      <w:pPr>
        <w:spacing w:before="240" w:line="288" w:lineRule="auto"/>
        <w:rPr>
          <w:rFonts w:eastAsia="Verdana" w:cs="Verdana"/>
          <w:lang w:val="pt-PT"/>
        </w:rPr>
      </w:pPr>
      <w:r w:rsidRPr="00441B43">
        <w:rPr>
          <w:rFonts w:eastAsia="Verdana" w:cs="Verdana"/>
          <w:lang w:val="en-GB"/>
        </w:rPr>
        <w:lastRenderedPageBreak/>
        <w:t>OMPI, [</w:t>
      </w:r>
      <w:proofErr w:type="spellStart"/>
      <w:r w:rsidRPr="00441B43">
        <w:rPr>
          <w:rFonts w:eastAsia="Verdana" w:cs="Verdana"/>
          <w:lang w:val="en-GB"/>
        </w:rPr>
        <w:t>s.d.</w:t>
      </w:r>
      <w:proofErr w:type="spellEnd"/>
      <w:r w:rsidRPr="00441B43">
        <w:rPr>
          <w:rFonts w:eastAsia="Verdana" w:cs="Verdana"/>
          <w:lang w:val="en-GB"/>
        </w:rPr>
        <w:t xml:space="preserve">]. Intellectual Property and Technology Transfer. </w:t>
      </w:r>
      <w:r w:rsidRPr="00FF7074">
        <w:rPr>
          <w:rFonts w:eastAsia="Verdana" w:cs="Verdana"/>
          <w:lang w:val="pt-PT"/>
        </w:rPr>
        <w:t xml:space="preserve">Disponível em: &lt; </w:t>
      </w:r>
      <w:hyperlink r:id="rId40" w:anchor=":~:text=Technology%20transfer%20(TT)%20is%20a,to%20public%20and%20private%20users">
        <w:r w:rsidRPr="00FF7074">
          <w:rPr>
            <w:rStyle w:val="Hiperligao"/>
            <w:rFonts w:eastAsia="Verdana" w:cs="Verdana"/>
            <w:lang w:val="pt-PT"/>
          </w:rPr>
          <w:t>https://www.wipo.int/technology-transfer/en/#:~:text=Technology%20transfer%20(TT)%20is%20a,to%20public%20and%20private%20users</w:t>
        </w:r>
      </w:hyperlink>
      <w:r w:rsidRPr="00FF7074">
        <w:rPr>
          <w:rFonts w:eastAsia="Verdana" w:cs="Verdana"/>
          <w:lang w:val="pt-PT"/>
        </w:rPr>
        <w:t>&gt; Acesso em: 24 de maio de 2023.</w:t>
      </w:r>
    </w:p>
    <w:p w14:paraId="6284A9CC" w14:textId="77777777" w:rsidR="00A00C35" w:rsidRPr="00FF7074" w:rsidRDefault="00A00C35" w:rsidP="00041113">
      <w:pPr>
        <w:spacing w:before="240" w:line="288" w:lineRule="auto"/>
        <w:rPr>
          <w:rFonts w:eastAsia="Verdana" w:cs="Verdana"/>
          <w:lang w:val="pt-PT"/>
        </w:rPr>
      </w:pPr>
      <w:r w:rsidRPr="00441B43">
        <w:rPr>
          <w:rFonts w:eastAsia="Verdana" w:cs="Verdana"/>
          <w:lang w:val="en-GB" w:eastAsia="pt-PT"/>
        </w:rPr>
        <w:t xml:space="preserve">PARLAMENTO EUROPEU. Policy for research and technological development. </w:t>
      </w:r>
      <w:r w:rsidRPr="00FF7074">
        <w:rPr>
          <w:rFonts w:eastAsia="Verdana" w:cs="Verdana"/>
          <w:lang w:val="pt-PT" w:eastAsia="pt-PT"/>
        </w:rPr>
        <w:t>Disponível em &lt;</w:t>
      </w:r>
      <w:hyperlink r:id="rId41">
        <w:r w:rsidRPr="00FF7074">
          <w:rPr>
            <w:rStyle w:val="Hiperligao"/>
            <w:rFonts w:eastAsia="Verdana" w:cs="Verdana"/>
            <w:lang w:val="pt-PT" w:eastAsia="pt-PT"/>
          </w:rPr>
          <w:t>https://www.europarl.europa.eu/factsheets/en/sheet/66/policy-for-research-and-technological-development</w:t>
        </w:r>
      </w:hyperlink>
      <w:r w:rsidRPr="00FF7074">
        <w:rPr>
          <w:rFonts w:eastAsia="Verdana" w:cs="Verdana"/>
          <w:lang w:val="pt-PT" w:eastAsia="pt-PT"/>
        </w:rPr>
        <w:t>&gt;. Data de acesso: 31 de maio de 2023.</w:t>
      </w:r>
    </w:p>
    <w:p w14:paraId="1E9CE88A" w14:textId="77777777" w:rsidR="00A00C35" w:rsidRPr="00FF7074" w:rsidRDefault="00A00C35" w:rsidP="00041113">
      <w:pPr>
        <w:spacing w:before="240" w:line="288" w:lineRule="auto"/>
        <w:rPr>
          <w:rFonts w:eastAsia="Verdana" w:cs="Verdana"/>
          <w:lang w:val="pt-PT" w:eastAsia="pt-PT"/>
        </w:rPr>
      </w:pPr>
      <w:r w:rsidRPr="00FF7074">
        <w:rPr>
          <w:rFonts w:eastAsia="Verdana" w:cs="Verdana"/>
          <w:lang w:val="pt-PT" w:eastAsia="pt-PT"/>
        </w:rPr>
        <w:t>T</w:t>
      </w:r>
      <w:r w:rsidRPr="00FF7074">
        <w:rPr>
          <w:rFonts w:eastAsia="Verdana" w:cs="Verdana"/>
          <w:caps/>
          <w:lang w:val="pt-PT" w:eastAsia="pt-PT"/>
        </w:rPr>
        <w:t>he Universisty of Texas System</w:t>
      </w:r>
      <w:r w:rsidRPr="00FF7074">
        <w:rPr>
          <w:rFonts w:eastAsia="Verdana" w:cs="Verdana"/>
          <w:lang w:val="pt-PT" w:eastAsia="pt-PT"/>
        </w:rPr>
        <w:t>. Intellectual Property. Disponível em: &lt;</w:t>
      </w:r>
      <w:r w:rsidRPr="00FF7074">
        <w:rPr>
          <w:rFonts w:eastAsia="Verdana" w:cs="Verdana"/>
          <w:lang w:val="pt-PT"/>
        </w:rPr>
        <w:t xml:space="preserve"> </w:t>
      </w:r>
      <w:hyperlink r:id="rId42" w:anchor="Academic">
        <w:r w:rsidRPr="00FF7074">
          <w:rPr>
            <w:rStyle w:val="Hiperligao"/>
            <w:rFonts w:eastAsia="Verdana" w:cs="Verdana"/>
            <w:lang w:val="pt-PT" w:eastAsia="pt-PT"/>
          </w:rPr>
          <w:t>https://www.utsystem.edu/offices/general-counsel/intellectual-property#Academic</w:t>
        </w:r>
      </w:hyperlink>
      <w:r w:rsidRPr="00FF7074">
        <w:rPr>
          <w:rFonts w:eastAsia="Verdana" w:cs="Verdana"/>
          <w:lang w:val="pt-PT" w:eastAsia="pt-PT"/>
        </w:rPr>
        <w:t>&gt;. Data de acesso: 1 de jun. de 2023.</w:t>
      </w:r>
    </w:p>
    <w:p w14:paraId="58689A52" w14:textId="1F85A562" w:rsidR="00E66CF2" w:rsidRPr="00FF7074" w:rsidRDefault="00A00C33" w:rsidP="005E67FA">
      <w:pPr>
        <w:spacing w:before="240" w:line="288" w:lineRule="auto"/>
        <w:jc w:val="left"/>
        <w:rPr>
          <w:rFonts w:eastAsia="Verdana" w:cs="Verdana"/>
          <w:lang w:val="pt-PT" w:eastAsia="pt-PT"/>
        </w:rPr>
      </w:pPr>
      <w:r w:rsidRPr="00FF7074">
        <w:rPr>
          <w:rFonts w:eastAsia="Verdana" w:cs="Verdana"/>
          <w:lang w:val="pt-PT"/>
        </w:rPr>
        <w:t xml:space="preserve">BURNDOWN CHART </w:t>
      </w:r>
      <w:r w:rsidR="00A16CF2" w:rsidRPr="00FF7074">
        <w:rPr>
          <w:rFonts w:eastAsia="Verdana" w:cs="Verdana"/>
          <w:lang w:val="pt-PT"/>
        </w:rPr>
        <w:t xml:space="preserve">em: &lt; </w:t>
      </w:r>
      <w:hyperlink r:id="rId43" w:history="1">
        <w:r w:rsidR="00A16CF2" w:rsidRPr="00FF7074">
          <w:rPr>
            <w:rStyle w:val="Hiperligao"/>
            <w:rFonts w:eastAsia="Verdana" w:cs="Verdana"/>
            <w:lang w:val="pt-PT"/>
          </w:rPr>
          <w:t>https://backlog.com/wp-blog-app/uploads/2020/01/burndown@2x.png</w:t>
        </w:r>
      </w:hyperlink>
      <w:r w:rsidR="00A16CF2" w:rsidRPr="00FF7074">
        <w:rPr>
          <w:rFonts w:eastAsia="Verdana" w:cs="Verdana"/>
          <w:lang w:val="pt-PT"/>
        </w:rPr>
        <w:t xml:space="preserve"> </w:t>
      </w:r>
      <w:r w:rsidR="00E66CF2" w:rsidRPr="00FF7074">
        <w:rPr>
          <w:rFonts w:eastAsia="Verdana" w:cs="Verdana"/>
          <w:lang w:val="pt-PT" w:eastAsia="pt-PT"/>
        </w:rPr>
        <w:t xml:space="preserve">&gt;. Data de acesso: </w:t>
      </w:r>
      <w:r w:rsidR="00A16CF2" w:rsidRPr="00FF7074">
        <w:rPr>
          <w:rFonts w:eastAsia="Verdana" w:cs="Verdana"/>
          <w:lang w:val="pt-PT" w:eastAsia="pt-PT"/>
        </w:rPr>
        <w:t>12</w:t>
      </w:r>
      <w:r w:rsidR="00E66CF2" w:rsidRPr="00FF7074">
        <w:rPr>
          <w:rFonts w:eastAsia="Verdana" w:cs="Verdana"/>
          <w:lang w:val="pt-PT" w:eastAsia="pt-PT"/>
        </w:rPr>
        <w:t xml:space="preserve"> de jun. de 2023.</w:t>
      </w:r>
    </w:p>
    <w:p w14:paraId="0B296CCB" w14:textId="7DACE879" w:rsidR="00A00C33" w:rsidRPr="00C11CC2" w:rsidRDefault="00C052F7" w:rsidP="005E67FA">
      <w:pPr>
        <w:spacing w:before="240" w:line="288" w:lineRule="auto"/>
        <w:jc w:val="left"/>
        <w:rPr>
          <w:rFonts w:eastAsia="Verdana" w:cs="Verdana"/>
          <w:lang w:val="pt-PT" w:eastAsia="pt-PT"/>
        </w:rPr>
      </w:pPr>
      <w:r w:rsidRPr="00FF7074">
        <w:rPr>
          <w:rFonts w:eastAsia="Verdana" w:cs="Verdana"/>
          <w:lang w:val="pt-PT" w:eastAsia="pt-PT"/>
        </w:rPr>
        <w:t xml:space="preserve">OPEN INNOVATION em: &lt; </w:t>
      </w:r>
      <w:hyperlink r:id="rId44" w:history="1">
        <w:r w:rsidRPr="00FF7074">
          <w:rPr>
            <w:rStyle w:val="Hiperligao"/>
            <w:rFonts w:eastAsia="Verdana" w:cs="Verdana"/>
            <w:lang w:val="pt-PT" w:eastAsia="pt-PT"/>
          </w:rPr>
          <w:t>https://www.eoi.es/blogs/imsd/innovation-what-is-open-innovation</w:t>
        </w:r>
      </w:hyperlink>
      <w:r w:rsidR="00A00C33" w:rsidRPr="00FF7074">
        <w:rPr>
          <w:rFonts w:eastAsia="Verdana" w:cs="Verdana"/>
          <w:lang w:val="pt-PT" w:eastAsia="pt-PT"/>
        </w:rPr>
        <w:t xml:space="preserve"> </w:t>
      </w:r>
      <w:r w:rsidRPr="00FF7074">
        <w:rPr>
          <w:rFonts w:eastAsia="Verdana" w:cs="Verdana"/>
          <w:lang w:val="pt-PT" w:eastAsia="pt-PT"/>
        </w:rPr>
        <w:t>&gt;</w:t>
      </w:r>
      <w:r w:rsidR="00A00C33" w:rsidRPr="00FF7074">
        <w:rPr>
          <w:rFonts w:eastAsia="Verdana" w:cs="Verdana"/>
          <w:lang w:val="pt-PT" w:eastAsia="pt-PT"/>
        </w:rPr>
        <w:t>.</w:t>
      </w:r>
      <w:r w:rsidRPr="00FF7074">
        <w:rPr>
          <w:rFonts w:eastAsia="Verdana" w:cs="Verdana"/>
          <w:lang w:val="pt-PT" w:eastAsia="pt-PT"/>
        </w:rPr>
        <w:t xml:space="preserve"> </w:t>
      </w:r>
      <w:r w:rsidRPr="00C11CC2">
        <w:rPr>
          <w:rFonts w:eastAsia="Verdana" w:cs="Verdana"/>
          <w:lang w:val="pt-PT" w:eastAsia="pt-PT"/>
        </w:rPr>
        <w:t>Data de acesso: 12 de jun. de 2023.</w:t>
      </w:r>
    </w:p>
    <w:p w14:paraId="1A9CB072" w14:textId="3FF5236A" w:rsidR="002B077A" w:rsidRPr="00C11CC2" w:rsidRDefault="002B077A" w:rsidP="00041113">
      <w:pPr>
        <w:spacing w:before="240" w:line="288" w:lineRule="auto"/>
        <w:rPr>
          <w:rFonts w:eastAsia="Verdana" w:cs="Verdana"/>
          <w:lang w:val="pt-PT"/>
        </w:rPr>
      </w:pPr>
    </w:p>
    <w:p w14:paraId="31C6D16E" w14:textId="77777777" w:rsidR="002F48B9" w:rsidRPr="00C11CC2" w:rsidRDefault="002F48B9" w:rsidP="002F48B9">
      <w:pPr>
        <w:spacing w:before="0" w:line="259" w:lineRule="auto"/>
        <w:ind w:firstLine="0"/>
        <w:rPr>
          <w:u w:val="single"/>
          <w:lang w:val="pt-PT"/>
        </w:rPr>
      </w:pPr>
    </w:p>
    <w:p w14:paraId="257BD7ED" w14:textId="77777777" w:rsidR="00AC1F66" w:rsidRPr="00C11CC2" w:rsidRDefault="00AC1F66" w:rsidP="00AC1F66">
      <w:pPr>
        <w:ind w:firstLine="0"/>
        <w:rPr>
          <w:rFonts w:eastAsia="Arial Unicode MS" w:cs="Calibri"/>
          <w:color w:val="000000"/>
          <w:lang w:val="pt-PT"/>
        </w:rPr>
      </w:pPr>
    </w:p>
    <w:p w14:paraId="554DE5FE" w14:textId="77777777" w:rsidR="00506FCA" w:rsidRPr="00C11CC2" w:rsidRDefault="00506FCA" w:rsidP="00AC1F66">
      <w:pPr>
        <w:ind w:firstLine="0"/>
        <w:rPr>
          <w:rFonts w:eastAsia="Arial Unicode MS" w:cs="Calibri"/>
          <w:color w:val="000000"/>
          <w:lang w:val="pt-PT"/>
        </w:rPr>
      </w:pPr>
    </w:p>
    <w:p w14:paraId="63C22AFB" w14:textId="77777777" w:rsidR="00506FCA" w:rsidRPr="00C11CC2" w:rsidRDefault="00506FCA" w:rsidP="00AC1F66">
      <w:pPr>
        <w:ind w:firstLine="0"/>
        <w:rPr>
          <w:rFonts w:eastAsia="Arial Unicode MS" w:cs="Calibri"/>
          <w:color w:val="000000"/>
          <w:lang w:val="pt-PT"/>
        </w:rPr>
      </w:pPr>
    </w:p>
    <w:p w14:paraId="7D7EE178" w14:textId="77777777" w:rsidR="00506FCA" w:rsidRPr="00C11CC2" w:rsidRDefault="00506FCA" w:rsidP="00AC1F66">
      <w:pPr>
        <w:ind w:firstLine="0"/>
        <w:rPr>
          <w:rFonts w:eastAsia="Arial Unicode MS" w:cs="Calibri"/>
          <w:color w:val="000000"/>
          <w:lang w:val="pt-PT"/>
        </w:rPr>
      </w:pPr>
    </w:p>
    <w:p w14:paraId="1FBE1AA3" w14:textId="77777777" w:rsidR="00506FCA" w:rsidRPr="00C11CC2" w:rsidRDefault="00506FCA" w:rsidP="00AC1F66">
      <w:pPr>
        <w:ind w:firstLine="0"/>
        <w:rPr>
          <w:rFonts w:eastAsia="Arial Unicode MS" w:cs="Calibri"/>
          <w:color w:val="000000"/>
          <w:lang w:val="pt-PT"/>
        </w:rPr>
      </w:pPr>
    </w:p>
    <w:p w14:paraId="6776C134" w14:textId="77777777" w:rsidR="00AC1F66" w:rsidRPr="00C11CC2" w:rsidRDefault="00AC1F66" w:rsidP="00AC1F66">
      <w:pPr>
        <w:ind w:firstLine="0"/>
        <w:rPr>
          <w:rFonts w:eastAsia="Arial Unicode MS" w:cs="Calibri"/>
          <w:color w:val="000000"/>
          <w:lang w:val="pt-PT"/>
        </w:rPr>
      </w:pPr>
    </w:p>
    <w:p w14:paraId="07029638" w14:textId="3BCF6B6B" w:rsidR="002F7A3F" w:rsidRPr="00C11CC2" w:rsidRDefault="002F7A3F" w:rsidP="0039618B">
      <w:pPr>
        <w:ind w:firstLine="0"/>
        <w:rPr>
          <w:rFonts w:ascii="Georgia" w:hAnsi="Georgia"/>
          <w:b/>
          <w:color w:val="FF0166" w:themeColor="text2"/>
          <w:sz w:val="32"/>
          <w:lang w:val="pt-PT"/>
        </w:rPr>
      </w:pPr>
    </w:p>
    <w:p w14:paraId="7A51E34B" w14:textId="23C7DBC6" w:rsidR="00290B97" w:rsidRPr="00C11CC2" w:rsidRDefault="009B33EA" w:rsidP="00290B97">
      <w:pPr>
        <w:pStyle w:val="Ttulo1"/>
        <w:numPr>
          <w:ilvl w:val="0"/>
          <w:numId w:val="0"/>
        </w:numPr>
      </w:pPr>
      <w:r w:rsidRPr="00C11CC2">
        <w:br w:type="page"/>
      </w:r>
      <w:bookmarkStart w:id="63" w:name="_Toc137847011"/>
      <w:r w:rsidR="00290B97" w:rsidRPr="00C11CC2">
        <w:lastRenderedPageBreak/>
        <w:t xml:space="preserve"> </w:t>
      </w:r>
      <w:bookmarkStart w:id="64" w:name="_Toc138420956"/>
      <w:r w:rsidR="00290B97" w:rsidRPr="00C11CC2">
        <w:t>DISCLAIMER</w:t>
      </w:r>
      <w:bookmarkEnd w:id="63"/>
      <w:bookmarkEnd w:id="64"/>
    </w:p>
    <w:p w14:paraId="3289A6AA" w14:textId="77777777" w:rsidR="00290B97" w:rsidRPr="00C11CC2" w:rsidRDefault="00290B97" w:rsidP="00290B97">
      <w:pPr>
        <w:suppressAutoHyphens/>
        <w:spacing w:after="200"/>
        <w:rPr>
          <w:i/>
          <w:iCs/>
          <w:szCs w:val="18"/>
          <w:lang w:val="pt-PT"/>
        </w:rPr>
      </w:pPr>
    </w:p>
    <w:p w14:paraId="719387C4" w14:textId="77777777" w:rsidR="004D2B9F" w:rsidRPr="004D2B9F" w:rsidRDefault="004D2B9F" w:rsidP="004D2B9F">
      <w:pPr>
        <w:suppressAutoHyphens/>
        <w:spacing w:after="200"/>
        <w:rPr>
          <w:i/>
          <w:iCs/>
          <w:szCs w:val="18"/>
          <w:lang w:val="pt-BR"/>
        </w:rPr>
      </w:pPr>
      <w:r w:rsidRPr="004D2B9F">
        <w:rPr>
          <w:i/>
          <w:iCs/>
          <w:szCs w:val="18"/>
          <w:lang w:val="pt-BR"/>
        </w:rPr>
        <w:t>Este documento é confidencial e o seu único e exclusivo destinatário é o cliente.</w:t>
      </w:r>
    </w:p>
    <w:p w14:paraId="43CC6443" w14:textId="77777777" w:rsidR="004D2B9F" w:rsidRPr="004D2B9F" w:rsidRDefault="004D2B9F" w:rsidP="004D2B9F">
      <w:pPr>
        <w:suppressAutoHyphens/>
        <w:spacing w:after="200"/>
        <w:rPr>
          <w:i/>
          <w:iCs/>
          <w:szCs w:val="18"/>
          <w:lang w:val="pt-BR"/>
        </w:rPr>
      </w:pPr>
      <w:r w:rsidRPr="004D2B9F">
        <w:rPr>
          <w:i/>
          <w:iCs/>
          <w:szCs w:val="18"/>
          <w:lang w:val="pt-BR"/>
        </w:rPr>
        <w:t>Para a elaboração das opiniões e conclusões refletidas, foram obtidas informações de diferentes fontes, públicas e não públicas. Não é feita qualquer manifestação ou dada qualquer garantia quanto à veracidade, integridade ou exatidão da referida informação, sem que tenha sido realizado, em qualquer dos casos expressos, qualquer processo de auditoria para a sua verificação. A formulação de recomendações e/ou opiniões sobre a veracidade, exatidão e exaustividade das referidas informações não pode ser inferida da redação do presente documento. Qualquer alteração nas informações ou pressupostos utilizados terá um claro impacto na análise e conclusões contidas no Relatório.</w:t>
      </w:r>
    </w:p>
    <w:p w14:paraId="132F3423" w14:textId="77777777" w:rsidR="004D2B9F" w:rsidRPr="004D2B9F" w:rsidRDefault="004D2B9F" w:rsidP="004D2B9F">
      <w:pPr>
        <w:suppressAutoHyphens/>
        <w:spacing w:after="200"/>
        <w:rPr>
          <w:i/>
          <w:iCs/>
          <w:szCs w:val="18"/>
          <w:lang w:val="pt-BR"/>
        </w:rPr>
      </w:pPr>
      <w:r w:rsidRPr="004D2B9F">
        <w:rPr>
          <w:i/>
          <w:iCs/>
          <w:szCs w:val="18"/>
          <w:lang w:val="pt-BR"/>
        </w:rPr>
        <w:t>As opiniões e conclusões contidas neste documento têm como referência a data de emissão ou de execução da pesquisa de informação (ambas indicadas no documento, consoante o que ocorrer primeiro), e estão sujeitas a alterações em qualquer altura e sem aviso prévio. O cliente aceita que o resultado estabelecido no documento apenas tem em conta a informação disponível até à data acima mencionada, não incluindo, portanto, factos ou documentos que possam ocorrer ou ser conhecidos posteriormente.</w:t>
      </w:r>
    </w:p>
    <w:p w14:paraId="19EC69E5" w14:textId="064730A8" w:rsidR="00290B97" w:rsidRPr="004D2B9F" w:rsidRDefault="004D2B9F" w:rsidP="004D2B9F">
      <w:pPr>
        <w:suppressAutoHyphens/>
        <w:spacing w:after="200"/>
        <w:rPr>
          <w:i/>
          <w:iCs/>
          <w:szCs w:val="18"/>
          <w:lang w:val="pt-BR"/>
        </w:rPr>
      </w:pPr>
      <w:r w:rsidRPr="004D2B9F">
        <w:rPr>
          <w:i/>
          <w:iCs/>
          <w:szCs w:val="18"/>
          <w:lang w:val="pt-BR"/>
        </w:rPr>
        <w:t>A ClarkeModet não assumirá qualquer responsabilidade por danos, perdas e/ou prejuízos que possam ocorrer como consequência da utilização da informação, recomendações e/ou opiniões contidas no documento, nem é, em caso algum, legalmente responsável perante o cliente ou terceiros por qualquer decisão ou ação tomada com base na informação contida no relatório.</w:t>
      </w:r>
    </w:p>
    <w:p w14:paraId="1DA7380E" w14:textId="77777777" w:rsidR="00290B97" w:rsidRPr="004D2B9F" w:rsidRDefault="00290B97" w:rsidP="00290B97">
      <w:pPr>
        <w:tabs>
          <w:tab w:val="left" w:pos="540"/>
        </w:tabs>
        <w:spacing w:after="240"/>
        <w:rPr>
          <w:lang w:val="pt-BR"/>
        </w:rPr>
      </w:pPr>
      <w:r w:rsidRPr="00FF7074">
        <w:rPr>
          <w:rFonts w:eastAsia="Verdana"/>
          <w:noProof/>
          <w:sz w:val="18"/>
          <w:lang w:val="pt-PT" w:eastAsia="en-US"/>
        </w:rPr>
        <mc:AlternateContent>
          <mc:Choice Requires="wps">
            <w:drawing>
              <wp:anchor distT="45720" distB="45720" distL="114300" distR="114300" simplePos="0" relativeHeight="251669504" behindDoc="0" locked="0" layoutInCell="1" allowOverlap="1" wp14:anchorId="13CB7428" wp14:editId="7F33D70D">
                <wp:simplePos x="0" y="0"/>
                <wp:positionH relativeFrom="margin">
                  <wp:align>left</wp:align>
                </wp:positionH>
                <wp:positionV relativeFrom="paragraph">
                  <wp:posOffset>374951</wp:posOffset>
                </wp:positionV>
                <wp:extent cx="6511925" cy="1790700"/>
                <wp:effectExtent l="0" t="0" r="3175" b="0"/>
                <wp:wrapNone/>
                <wp:docPr id="1032" name="Caixa de texto 10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11925" cy="1790700"/>
                        </a:xfrm>
                        <a:prstGeom prst="rect">
                          <a:avLst/>
                        </a:prstGeom>
                        <a:solidFill>
                          <a:srgbClr val="FFFFFF"/>
                        </a:solidFill>
                        <a:ln w="9525">
                          <a:noFill/>
                          <a:miter lim="800000"/>
                          <a:headEnd/>
                          <a:tailEnd/>
                        </a:ln>
                      </wps:spPr>
                      <wps:txbx>
                        <w:txbxContent>
                          <w:p w14:paraId="6FD86A3B" w14:textId="77777777" w:rsidR="00290B97" w:rsidRPr="00704D8F" w:rsidRDefault="00290B97" w:rsidP="00290B97">
                            <w:pPr>
                              <w:ind w:firstLine="0"/>
                              <w:rPr>
                                <w:color w:val="4B4F54"/>
                                <w:szCs w:val="16"/>
                                <w:lang w:val="pt-PT"/>
                              </w:rPr>
                            </w:pPr>
                            <w:r w:rsidRPr="00704D8F">
                              <w:rPr>
                                <w:color w:val="4B4F54"/>
                                <w:szCs w:val="16"/>
                                <w:lang w:val="pt-PT"/>
                              </w:rPr>
                              <w:t>© ClarkeModet 2023. Todos os direitos reservados.</w:t>
                            </w:r>
                          </w:p>
                          <w:p w14:paraId="5C704A0D" w14:textId="77777777" w:rsidR="00290B97" w:rsidRPr="00704D8F" w:rsidRDefault="00290B97" w:rsidP="00290B97">
                            <w:pPr>
                              <w:rPr>
                                <w:color w:val="4B4F54"/>
                                <w:szCs w:val="16"/>
                                <w:lang w:val="pt-PT"/>
                              </w:rPr>
                            </w:pPr>
                          </w:p>
                          <w:p w14:paraId="5AD5AEDC" w14:textId="77777777" w:rsidR="00290B97" w:rsidRPr="00704D8F" w:rsidRDefault="00290B97" w:rsidP="00290B97">
                            <w:pPr>
                              <w:rPr>
                                <w:color w:val="4B4F54"/>
                                <w:szCs w:val="16"/>
                                <w:lang w:val="pt-PT"/>
                              </w:rPr>
                            </w:pPr>
                          </w:p>
                          <w:p w14:paraId="52A21B77" w14:textId="77777777" w:rsidR="00290B97" w:rsidRPr="00704D8F" w:rsidRDefault="00290B97" w:rsidP="00290B97">
                            <w:pPr>
                              <w:rPr>
                                <w:color w:val="4B4F54"/>
                                <w:szCs w:val="16"/>
                                <w:lang w:val="pt-PT"/>
                              </w:rPr>
                            </w:pPr>
                          </w:p>
                          <w:p w14:paraId="30049380" w14:textId="77777777" w:rsidR="00290B97" w:rsidRPr="00704D8F" w:rsidRDefault="00290B97" w:rsidP="00290B97">
                            <w:pPr>
                              <w:rPr>
                                <w:color w:val="4B4F54"/>
                                <w:szCs w:val="16"/>
                                <w:lang w:val="pt-PT"/>
                              </w:rPr>
                            </w:pPr>
                          </w:p>
                          <w:p w14:paraId="3A9B6539" w14:textId="77777777" w:rsidR="00290B97" w:rsidRPr="00704D8F" w:rsidRDefault="00290B97" w:rsidP="00290B97">
                            <w:pPr>
                              <w:rPr>
                                <w:sz w:val="18"/>
                                <w:szCs w:val="18"/>
                                <w:lang w:val="pt-PT"/>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CB7428" id="Caixa de texto 1032" o:spid="_x0000_s1030" type="#_x0000_t202" style="position:absolute;left:0;text-align:left;margin-left:0;margin-top:29.5pt;width:512.75pt;height:141pt;z-index:25166950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" stroked="f">
                <v:textbox>
                  <w:txbxContent>
                    <w:p w14:paraId="6FD86A3B" w14:textId="77777777" w:rsidR="00290B97" w:rsidRPr="00704D8F" w:rsidRDefault="00290B97" w:rsidP="00290B97">
                      <w:pPr>
                        <w:ind w:firstLine="0"/>
                        <w:rPr>
                          <w:color w:val="4B4F54"/>
                          <w:szCs w:val="16"/>
                          <w:lang w:val="pt-PT"/>
                        </w:rPr>
                      </w:pPr>
                      <w:r w:rsidRPr="00704D8F">
                        <w:rPr>
                          <w:color w:val="4B4F54"/>
                          <w:szCs w:val="16"/>
                          <w:lang w:val="pt-PT"/>
                        </w:rPr>
                        <w:t>© ClarkeModet 2023. Todos os direitos reservados.</w:t>
                      </w:r>
                    </w:p>
                    <w:p w14:paraId="5C704A0D" w14:textId="77777777" w:rsidR="00290B97" w:rsidRPr="00704D8F" w:rsidRDefault="00290B97" w:rsidP="00290B97">
                      <w:pPr>
                        <w:rPr>
                          <w:color w:val="4B4F54"/>
                          <w:szCs w:val="16"/>
                          <w:lang w:val="pt-PT"/>
                        </w:rPr>
                      </w:pPr>
                    </w:p>
                    <w:p w14:paraId="5AD5AEDC" w14:textId="77777777" w:rsidR="00290B97" w:rsidRPr="00704D8F" w:rsidRDefault="00290B97" w:rsidP="00290B97">
                      <w:pPr>
                        <w:rPr>
                          <w:color w:val="4B4F54"/>
                          <w:szCs w:val="16"/>
                          <w:lang w:val="pt-PT"/>
                        </w:rPr>
                      </w:pPr>
                    </w:p>
                    <w:p w14:paraId="52A21B77" w14:textId="77777777" w:rsidR="00290B97" w:rsidRPr="00704D8F" w:rsidRDefault="00290B97" w:rsidP="00290B97">
                      <w:pPr>
                        <w:rPr>
                          <w:color w:val="4B4F54"/>
                          <w:szCs w:val="16"/>
                          <w:lang w:val="pt-PT"/>
                        </w:rPr>
                      </w:pPr>
                    </w:p>
                    <w:p w14:paraId="30049380" w14:textId="77777777" w:rsidR="00290B97" w:rsidRPr="00704D8F" w:rsidRDefault="00290B97" w:rsidP="00290B97">
                      <w:pPr>
                        <w:rPr>
                          <w:color w:val="4B4F54"/>
                          <w:szCs w:val="16"/>
                          <w:lang w:val="pt-PT"/>
                        </w:rPr>
                      </w:pPr>
                    </w:p>
                    <w:p w14:paraId="3A9B6539" w14:textId="77777777" w:rsidR="00290B97" w:rsidRPr="00704D8F" w:rsidRDefault="00290B97" w:rsidP="00290B97">
                      <w:pPr>
                        <w:rPr>
                          <w:sz w:val="18"/>
                          <w:szCs w:val="18"/>
                          <w:lang w:val="pt-PT"/>
                        </w:rPr>
                      </w:pPr>
                    </w:p>
                  </w:txbxContent>
                </v:textbox>
                <w10:wrap anchorx="margin"/>
              </v:shape>
            </w:pict>
          </mc:Fallback>
        </mc:AlternateContent>
      </w:r>
    </w:p>
    <w:p w14:paraId="331E3DF7" w14:textId="77777777" w:rsidR="00290B97" w:rsidRPr="004D2B9F" w:rsidRDefault="00290B97" w:rsidP="00290B97">
      <w:pPr>
        <w:tabs>
          <w:tab w:val="left" w:pos="540"/>
        </w:tabs>
        <w:spacing w:after="240"/>
        <w:rPr>
          <w:lang w:val="pt-BR"/>
        </w:rPr>
      </w:pPr>
    </w:p>
    <w:p w14:paraId="2A3BEE25" w14:textId="77777777" w:rsidR="00290B97" w:rsidRPr="004D2B9F" w:rsidRDefault="00290B97" w:rsidP="00290B97">
      <w:pPr>
        <w:spacing w:before="0" w:after="0" w:line="240" w:lineRule="auto"/>
        <w:ind w:firstLine="0"/>
        <w:jc w:val="left"/>
        <w:rPr>
          <w:lang w:val="pt-BR"/>
        </w:rPr>
      </w:pPr>
      <w:r w:rsidRPr="004D2B9F">
        <w:rPr>
          <w:lang w:val="pt-BR"/>
        </w:rPr>
        <w:br w:type="page"/>
      </w:r>
    </w:p>
    <w:p w14:paraId="582BCADF" w14:textId="4F1E739C" w:rsidR="00290B97" w:rsidRPr="004D2B9F" w:rsidRDefault="00290B97" w:rsidP="00290B97">
      <w:pPr>
        <w:tabs>
          <w:tab w:val="left" w:pos="540"/>
        </w:tabs>
        <w:spacing w:after="240"/>
        <w:rPr>
          <w:lang w:val="pt-BR"/>
        </w:rPr>
      </w:pPr>
      <w:r w:rsidRPr="00B838AD">
        <w:rPr>
          <w:noProof/>
        </w:rPr>
        <w:lastRenderedPageBreak/>
        <mc:AlternateContent>
          <mc:Choice Requires="wps">
            <w:drawing>
              <wp:anchor distT="0" distB="0" distL="114300" distR="114300" simplePos="0" relativeHeight="251670528" behindDoc="0" locked="0" layoutInCell="1" allowOverlap="1" wp14:anchorId="02CE1A98" wp14:editId="5153BA2E">
                <wp:simplePos x="0" y="0"/>
                <wp:positionH relativeFrom="margin">
                  <wp:posOffset>-904741</wp:posOffset>
                </wp:positionH>
                <wp:positionV relativeFrom="paragraph">
                  <wp:posOffset>-1134745</wp:posOffset>
                </wp:positionV>
                <wp:extent cx="7560310" cy="10637520"/>
                <wp:effectExtent l="0" t="0" r="2540" b="0"/>
                <wp:wrapNone/>
                <wp:docPr id="7" name="Rectángulo 6">
                  <a:extLst xmlns:a="http://schemas.openxmlformats.org/drawingml/2006/main">
                    <a:ext uri="{FF2B5EF4-FFF2-40B4-BE49-F238E27FC236}">
                      <a16:creationId xmlns:a16="http://schemas.microsoft.com/office/drawing/2014/main" id="{86E3C6F9-4983-0F48-7D56-F28ED8A94F65}"/>
                    </a:ext>
                  </a:extLst>
                </wp:docPr>
                <wp:cNvGraphicFramePr/>
                <a:graphic xmlns:a="http://schemas.openxmlformats.org/drawingml/2006/main">
                  <a:graphicData uri="http://schemas.microsoft.com/office/word/2010/wordprocessingShape">
                    <wps:wsp>
                      <wps:cNvSpPr/>
                      <wps:spPr>
                        <a:xfrm>
                          <a:off x="0" y="0"/>
                          <a:ext cx="7560310" cy="10637520"/>
                        </a:xfrm>
                        <a:prstGeom prst="rect">
                          <a:avLst/>
                        </a:prstGeom>
                        <a:solidFill>
                          <a:srgbClr val="40404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4754004E" id="Rectángulo 6" o:spid="_x0000_s1026" style="position:absolute;margin-left:-71.25pt;margin-top:-89.35pt;width:595.3pt;height:837.6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" fillcolor="#404040" stroked="f" strokeweight="1pt">
                <w10:wrap anchorx="margin"/>
              </v:rect>
            </w:pict>
          </mc:Fallback>
        </mc:AlternateContent>
      </w:r>
      <w:r w:rsidRPr="00FF7074">
        <w:rPr>
          <w:noProof/>
          <w:lang w:val="pt-PT"/>
        </w:rPr>
        <mc:AlternateContent>
          <mc:Choice Requires="wps">
            <w:drawing>
              <wp:anchor distT="0" distB="0" distL="114300" distR="114300" simplePos="0" relativeHeight="251668480" behindDoc="0" locked="0" layoutInCell="1" allowOverlap="1" wp14:anchorId="7B345C7A" wp14:editId="22CCB280">
                <wp:simplePos x="0" y="0"/>
                <wp:positionH relativeFrom="column">
                  <wp:posOffset>-123190</wp:posOffset>
                </wp:positionH>
                <wp:positionV relativeFrom="paragraph">
                  <wp:posOffset>7179310</wp:posOffset>
                </wp:positionV>
                <wp:extent cx="5855970" cy="632460"/>
                <wp:effectExtent l="0" t="0" r="0" b="0"/>
                <wp:wrapNone/>
                <wp:docPr id="24" name="Caixa de texto 24"/>
                <wp:cNvGraphicFramePr/>
                <a:graphic xmlns:a="http://schemas.openxmlformats.org/drawingml/2006/main">
                  <a:graphicData uri="http://schemas.microsoft.com/office/word/2010/wordprocessingShape">
                    <wps:wsp>
                      <wps:cNvSpPr txBox="1"/>
                      <wps:spPr>
                        <a:xfrm>
                          <a:off x="0" y="0"/>
                          <a:ext cx="5855970" cy="632460"/>
                        </a:xfrm>
                        <a:prstGeom prst="rect">
                          <a:avLst/>
                        </a:prstGeom>
                        <a:noFill/>
                      </wps:spPr>
                      <wps:txbx>
                        <w:txbxContent>
                          <w:p w14:paraId="76871FBC" w14:textId="77777777" w:rsidR="00290B97" w:rsidRDefault="00290B97" w:rsidP="00290B97">
                            <w:pPr>
                              <w:textAlignment w:val="baseline"/>
                              <w:rPr>
                                <w:rFonts w:eastAsia="Source Sans Pro SemiBold"/>
                                <w:b/>
                                <w:bCs/>
                                <w:color w:val="FFFFFF"/>
                                <w:kern w:val="24"/>
                                <w:position w:val="1"/>
                                <w:sz w:val="48"/>
                                <w:szCs w:val="48"/>
                                <w:lang w:val="en-US"/>
                              </w:rPr>
                            </w:pPr>
                            <w:r>
                              <w:rPr>
                                <w:rFonts w:eastAsia="Source Sans Pro SemiBold"/>
                                <w:b/>
                                <w:bCs/>
                                <w:color w:val="FFFFFF"/>
                                <w:kern w:val="24"/>
                                <w:position w:val="1"/>
                                <w:sz w:val="48"/>
                                <w:szCs w:val="48"/>
                                <w:lang w:val="en-US"/>
                              </w:rPr>
                              <w:t xml:space="preserve">Your </w:t>
                            </w:r>
                            <w:r w:rsidRPr="00136843">
                              <w:rPr>
                                <w:rFonts w:eastAsia="Source Sans Pro SemiBold"/>
                                <w:b/>
                                <w:bCs/>
                                <w:color w:val="FFFFFF"/>
                                <w:kern w:val="24"/>
                                <w:position w:val="1"/>
                                <w:sz w:val="48"/>
                                <w:szCs w:val="48"/>
                                <w:lang w:val="en-US"/>
                              </w:rPr>
                              <w:t xml:space="preserve">ideas, </w:t>
                            </w:r>
                            <w:r>
                              <w:rPr>
                                <w:rFonts w:eastAsia="Source Sans Pro SemiBold"/>
                                <w:b/>
                                <w:bCs/>
                                <w:color w:val="FFFFFF"/>
                                <w:kern w:val="24"/>
                                <w:position w:val="1"/>
                                <w:sz w:val="48"/>
                                <w:szCs w:val="48"/>
                                <w:lang w:val="en-US"/>
                              </w:rPr>
                              <w:t>our solutions</w:t>
                            </w:r>
                            <w:r w:rsidRPr="00136843">
                              <w:rPr>
                                <w:rFonts w:eastAsia="Source Sans Pro SemiBold"/>
                                <w:b/>
                                <w:bCs/>
                                <w:color w:val="FFFFFF"/>
                                <w:kern w:val="24"/>
                                <w:position w:val="1"/>
                                <w:sz w:val="48"/>
                                <w:szCs w:val="48"/>
                                <w:lang w:val="en-US"/>
                              </w:rPr>
                              <w:t>.</w:t>
                            </w:r>
                          </w:p>
                        </w:txbxContent>
                      </wps:txbx>
                      <wps:bodyPr wrap="square">
                        <a:noAutofit/>
                      </wps:bodyPr>
                    </wps:wsp>
                  </a:graphicData>
                </a:graphic>
              </wp:anchor>
            </w:drawing>
          </mc:Choice>
          <mc:Fallback>
            <w:pict>
              <v:shape w14:anchorId="7B345C7A" id="Caixa de texto 24" o:spid="_x0000_s1031" type="#_x0000_t202" style="position:absolute;left:0;text-align:left;margin-left:-9.7pt;margin-top:565.3pt;width:461.1pt;height:49.8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" filled="f" stroked="f">
                <v:textbox>
                  <w:txbxContent>
                    <w:p w14:paraId="76871FBC" w14:textId="77777777" w:rsidR="00290B97" w:rsidRDefault="00290B97" w:rsidP="00290B97">
                      <w:pPr>
                        <w:textAlignment w:val="baseline"/>
                        <w:rPr>
                          <w:rFonts w:eastAsia="Source Sans Pro SemiBold"/>
                          <w:b/>
                          <w:bCs/>
                          <w:color w:val="FFFFFF"/>
                          <w:kern w:val="24"/>
                          <w:position w:val="1"/>
                          <w:sz w:val="48"/>
                          <w:szCs w:val="48"/>
                          <w:lang w:val="en-US"/>
                        </w:rPr>
                      </w:pPr>
                      <w:r>
                        <w:rPr>
                          <w:rFonts w:eastAsia="Source Sans Pro SemiBold"/>
                          <w:b/>
                          <w:bCs/>
                          <w:color w:val="FFFFFF"/>
                          <w:kern w:val="24"/>
                          <w:position w:val="1"/>
                          <w:sz w:val="48"/>
                          <w:szCs w:val="48"/>
                          <w:lang w:val="en-US"/>
                        </w:rPr>
                        <w:t xml:space="preserve">Your </w:t>
                      </w:r>
                      <w:r w:rsidRPr="00136843">
                        <w:rPr>
                          <w:rFonts w:eastAsia="Source Sans Pro SemiBold"/>
                          <w:b/>
                          <w:bCs/>
                          <w:color w:val="FFFFFF"/>
                          <w:kern w:val="24"/>
                          <w:position w:val="1"/>
                          <w:sz w:val="48"/>
                          <w:szCs w:val="48"/>
                          <w:lang w:val="en-US"/>
                        </w:rPr>
                        <w:t xml:space="preserve">ideas, </w:t>
                      </w:r>
                      <w:r>
                        <w:rPr>
                          <w:rFonts w:eastAsia="Source Sans Pro SemiBold"/>
                          <w:b/>
                          <w:bCs/>
                          <w:color w:val="FFFFFF"/>
                          <w:kern w:val="24"/>
                          <w:position w:val="1"/>
                          <w:sz w:val="48"/>
                          <w:szCs w:val="48"/>
                          <w:lang w:val="en-US"/>
                        </w:rPr>
                        <w:t>our solutions</w:t>
                      </w:r>
                      <w:r w:rsidRPr="00136843">
                        <w:rPr>
                          <w:rFonts w:eastAsia="Source Sans Pro SemiBold"/>
                          <w:b/>
                          <w:bCs/>
                          <w:color w:val="FFFFFF"/>
                          <w:kern w:val="24"/>
                          <w:position w:val="1"/>
                          <w:sz w:val="48"/>
                          <w:szCs w:val="48"/>
                          <w:lang w:val="en-US"/>
                        </w:rPr>
                        <w:t>.</w:t>
                      </w:r>
                    </w:p>
                  </w:txbxContent>
                </v:textbox>
              </v:shape>
            </w:pict>
          </mc:Fallback>
        </mc:AlternateContent>
      </w:r>
    </w:p>
    <w:p w14:paraId="2312A727" w14:textId="77777777" w:rsidR="00290B97" w:rsidRPr="004D2B9F" w:rsidRDefault="00290B97" w:rsidP="00290B97">
      <w:pPr>
        <w:tabs>
          <w:tab w:val="left" w:pos="540"/>
        </w:tabs>
        <w:spacing w:after="240"/>
        <w:rPr>
          <w:lang w:val="pt-BR"/>
        </w:rPr>
      </w:pPr>
    </w:p>
    <w:p w14:paraId="1DA34A5A" w14:textId="77777777" w:rsidR="00290B97" w:rsidRPr="004D2B9F" w:rsidRDefault="00290B97" w:rsidP="00290B97">
      <w:pPr>
        <w:tabs>
          <w:tab w:val="left" w:pos="540"/>
        </w:tabs>
        <w:spacing w:after="240"/>
        <w:rPr>
          <w:lang w:val="pt-BR"/>
        </w:rPr>
      </w:pPr>
    </w:p>
    <w:p w14:paraId="1C68279A" w14:textId="7B647C2D" w:rsidR="00290B97" w:rsidRPr="004D2B9F" w:rsidRDefault="00290B97" w:rsidP="00290B97">
      <w:pPr>
        <w:tabs>
          <w:tab w:val="left" w:pos="540"/>
        </w:tabs>
        <w:spacing w:after="240"/>
        <w:rPr>
          <w:lang w:val="pt-BR"/>
        </w:rPr>
      </w:pPr>
    </w:p>
    <w:p w14:paraId="62C40EAB" w14:textId="77777777" w:rsidR="00290B97" w:rsidRPr="004D2B9F" w:rsidRDefault="00290B97" w:rsidP="00290B97">
      <w:pPr>
        <w:tabs>
          <w:tab w:val="left" w:pos="540"/>
        </w:tabs>
        <w:spacing w:after="240"/>
        <w:rPr>
          <w:lang w:val="pt-BR"/>
        </w:rPr>
      </w:pPr>
    </w:p>
    <w:p w14:paraId="16739A27" w14:textId="132C244A" w:rsidR="00290B97" w:rsidRPr="004D2B9F" w:rsidRDefault="00290B97" w:rsidP="00290B97">
      <w:pPr>
        <w:tabs>
          <w:tab w:val="left" w:pos="540"/>
        </w:tabs>
        <w:spacing w:after="240"/>
        <w:rPr>
          <w:sz w:val="18"/>
          <w:szCs w:val="18"/>
          <w:lang w:val="pt-BR"/>
        </w:rPr>
      </w:pPr>
      <w:r w:rsidRPr="00B838AD">
        <w:rPr>
          <w:noProof/>
        </w:rPr>
        <w:drawing>
          <wp:anchor distT="0" distB="0" distL="114300" distR="114300" simplePos="0" relativeHeight="251672576" behindDoc="0" locked="0" layoutInCell="1" allowOverlap="1" wp14:anchorId="2A9AFCBF" wp14:editId="16DEE336">
            <wp:simplePos x="0" y="0"/>
            <wp:positionH relativeFrom="column">
              <wp:posOffset>4799330</wp:posOffset>
            </wp:positionH>
            <wp:positionV relativeFrom="paragraph">
              <wp:posOffset>5259705</wp:posOffset>
            </wp:positionV>
            <wp:extent cx="990600" cy="990600"/>
            <wp:effectExtent l="0" t="0" r="0" b="0"/>
            <wp:wrapNone/>
            <wp:docPr id="5" name="Imagen 4" descr="Código QR&#10;&#10;Descripción generada automáticamente">
              <a:extLst xmlns:a="http://schemas.openxmlformats.org/drawingml/2006/main">
                <a:ext uri="{FF2B5EF4-FFF2-40B4-BE49-F238E27FC236}">
                  <a16:creationId xmlns:a16="http://schemas.microsoft.com/office/drawing/2014/main" id="{7B70EF68-594F-5D5A-34E7-A7039B9FEB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4" descr="Código QR&#10;&#10;Descripción generada automáticamente">
                      <a:extLst>
                        <a:ext uri="{FF2B5EF4-FFF2-40B4-BE49-F238E27FC236}">
                          <a16:creationId xmlns:a16="http://schemas.microsoft.com/office/drawing/2014/main" id="{7B70EF68-594F-5D5A-34E7-A7039B9FEB81}"/>
                        </a:ext>
                      </a:extLst>
                    </pic:cNvPr>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990600" cy="990600"/>
                    </a:xfrm>
                    <a:prstGeom prst="rect">
                      <a:avLst/>
                    </a:prstGeom>
                  </pic:spPr>
                </pic:pic>
              </a:graphicData>
            </a:graphic>
            <wp14:sizeRelH relativeFrom="margin">
              <wp14:pctWidth>0</wp14:pctWidth>
            </wp14:sizeRelH>
            <wp14:sizeRelV relativeFrom="margin">
              <wp14:pctHeight>0</wp14:pctHeight>
            </wp14:sizeRelV>
          </wp:anchor>
        </w:drawing>
      </w:r>
      <w:r w:rsidRPr="00B838AD">
        <w:rPr>
          <w:noProof/>
        </w:rPr>
        <mc:AlternateContent>
          <mc:Choice Requires="wps">
            <w:drawing>
              <wp:anchor distT="0" distB="0" distL="114300" distR="114300" simplePos="0" relativeHeight="251671552" behindDoc="0" locked="0" layoutInCell="1" allowOverlap="1" wp14:anchorId="7FBF4E74" wp14:editId="6931AF0D">
                <wp:simplePos x="0" y="0"/>
                <wp:positionH relativeFrom="margin">
                  <wp:posOffset>3653155</wp:posOffset>
                </wp:positionH>
                <wp:positionV relativeFrom="paragraph">
                  <wp:posOffset>6429375</wp:posOffset>
                </wp:positionV>
                <wp:extent cx="2806065" cy="302840"/>
                <wp:effectExtent l="0" t="0" r="0" b="0"/>
                <wp:wrapNone/>
                <wp:docPr id="986956886" name="CuadroTexto 28"/>
                <wp:cNvGraphicFramePr/>
                <a:graphic xmlns:a="http://schemas.openxmlformats.org/drawingml/2006/main">
                  <a:graphicData uri="http://schemas.microsoft.com/office/word/2010/wordprocessingShape">
                    <wps:wsp>
                      <wps:cNvSpPr txBox="1"/>
                      <wps:spPr>
                        <a:xfrm>
                          <a:off x="0" y="0"/>
                          <a:ext cx="2806065" cy="302840"/>
                        </a:xfrm>
                        <a:prstGeom prst="rect">
                          <a:avLst/>
                        </a:prstGeom>
                        <a:noFill/>
                      </wps:spPr>
                      <wps:txbx>
                        <w:txbxContent>
                          <w:p w14:paraId="38D95BF2" w14:textId="77777777" w:rsidR="00290B97" w:rsidRDefault="00290B97" w:rsidP="00290B97">
                            <w:pPr>
                              <w:spacing w:line="256" w:lineRule="auto"/>
                              <w:rPr>
                                <w:rFonts w:ascii="Calibri" w:hAnsi="Calibri" w:cstheme="minorBidi"/>
                                <w:b/>
                                <w:bCs/>
                                <w:color w:val="FFFFFF"/>
                                <w:kern w:val="24"/>
                                <w:sz w:val="27"/>
                                <w:szCs w:val="27"/>
                                <w:lang w:val="es-CO"/>
                              </w:rPr>
                            </w:pPr>
                            <w:r>
                              <w:rPr>
                                <w:rFonts w:ascii="Calibri" w:hAnsi="Calibri" w:cstheme="minorBidi"/>
                                <w:b/>
                                <w:bCs/>
                                <w:color w:val="FFFFFF"/>
                                <w:kern w:val="24"/>
                                <w:sz w:val="27"/>
                                <w:szCs w:val="27"/>
                                <w:lang w:val="es-CO"/>
                              </w:rPr>
                              <w:t>www.clarkemodet.com</w:t>
                            </w:r>
                          </w:p>
                        </w:txbxContent>
                      </wps:txbx>
                      <wps:bodyPr wrap="square">
                        <a:spAutoFit/>
                      </wps:bodyPr>
                    </wps:wsp>
                  </a:graphicData>
                </a:graphic>
                <wp14:sizeRelH relativeFrom="margin">
                  <wp14:pctWidth>0</wp14:pctWidth>
                </wp14:sizeRelH>
              </wp:anchor>
            </w:drawing>
          </mc:Choice>
          <mc:Fallback>
            <w:pict>
              <v:shape w14:anchorId="7FBF4E74" id="CuadroTexto 28" o:spid="_x0000_s1032" type="#_x0000_t202" style="position:absolute;left:0;text-align:left;margin-left:287.65pt;margin-top:506.25pt;width:220.95pt;height:23.85pt;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" filled="f" stroked="f">
                <v:textbox style="mso-fit-shape-to-text:t">
                  <w:txbxContent>
                    <w:p w14:paraId="38D95BF2" w14:textId="77777777" w:rsidR="00290B97" w:rsidRDefault="00290B97" w:rsidP="00290B97">
                      <w:pPr>
                        <w:spacing w:line="256" w:lineRule="auto"/>
                        <w:rPr>
                          <w:rFonts w:ascii="Calibri" w:hAnsi="Calibri" w:cstheme="minorBidi"/>
                          <w:b/>
                          <w:bCs/>
                          <w:color w:val="FFFFFF"/>
                          <w:kern w:val="24"/>
                          <w:sz w:val="27"/>
                          <w:szCs w:val="27"/>
                          <w:lang w:val="es-CO"/>
                        </w:rPr>
                      </w:pPr>
                      <w:r>
                        <w:rPr>
                          <w:rFonts w:ascii="Calibri" w:hAnsi="Calibri" w:cstheme="minorBidi"/>
                          <w:b/>
                          <w:bCs/>
                          <w:color w:val="FFFFFF"/>
                          <w:kern w:val="24"/>
                          <w:sz w:val="27"/>
                          <w:szCs w:val="27"/>
                          <w:lang w:val="es-CO"/>
                        </w:rPr>
                        <w:t>www.clarkemodet.com</w:t>
                      </w:r>
                    </w:p>
                  </w:txbxContent>
                </v:textbox>
                <w10:wrap anchorx="margin"/>
              </v:shape>
            </w:pict>
          </mc:Fallback>
        </mc:AlternateContent>
      </w:r>
      <w:r w:rsidRPr="00FF7074">
        <w:rPr>
          <w:noProof/>
          <w:lang w:val="pt-PT"/>
        </w:rPr>
        <mc:AlternateContent>
          <mc:Choice Requires="wps">
            <w:drawing>
              <wp:anchor distT="0" distB="0" distL="114300" distR="114300" simplePos="0" relativeHeight="251667456" behindDoc="0" locked="0" layoutInCell="1" allowOverlap="1" wp14:anchorId="22022612" wp14:editId="5B306BA8">
                <wp:simplePos x="0" y="0"/>
                <wp:positionH relativeFrom="column">
                  <wp:posOffset>-54610</wp:posOffset>
                </wp:positionH>
                <wp:positionV relativeFrom="paragraph">
                  <wp:posOffset>6141720</wp:posOffset>
                </wp:positionV>
                <wp:extent cx="4265930" cy="953770"/>
                <wp:effectExtent l="0" t="0" r="0" b="0"/>
                <wp:wrapNone/>
                <wp:docPr id="23" name="Caixa de texto 23"/>
                <wp:cNvGraphicFramePr/>
                <a:graphic xmlns:a="http://schemas.openxmlformats.org/drawingml/2006/main">
                  <a:graphicData uri="http://schemas.microsoft.com/office/word/2010/wordprocessingShape">
                    <wps:wsp>
                      <wps:cNvSpPr txBox="1"/>
                      <wps:spPr>
                        <a:xfrm>
                          <a:off x="0" y="0"/>
                          <a:ext cx="4265930" cy="953770"/>
                        </a:xfrm>
                        <a:prstGeom prst="rect">
                          <a:avLst/>
                        </a:prstGeom>
                        <a:noFill/>
                      </wps:spPr>
                      <wps:txbx>
                        <w:txbxContent>
                          <w:p w14:paraId="05A91514" w14:textId="77777777" w:rsidR="00290B97" w:rsidRPr="00D57463" w:rsidRDefault="00290B97" w:rsidP="00290B97">
                            <w:pPr>
                              <w:textAlignment w:val="baseline"/>
                              <w:rPr>
                                <w:rFonts w:eastAsia="Source Sans Pro"/>
                                <w:color w:val="FFFFFF"/>
                                <w:kern w:val="24"/>
                                <w:sz w:val="24"/>
                                <w:szCs w:val="24"/>
                                <w:lang w:val="en-US"/>
                              </w:rPr>
                            </w:pPr>
                            <w:r w:rsidRPr="00D57463">
                              <w:rPr>
                                <w:rFonts w:eastAsia="Source Sans Pro"/>
                                <w:color w:val="FFFFFF"/>
                                <w:kern w:val="24"/>
                                <w:sz w:val="24"/>
                                <w:szCs w:val="24"/>
                                <w:lang w:val="en-US"/>
                              </w:rPr>
                              <w:t>Consulting Department</w:t>
                            </w:r>
                          </w:p>
                          <w:p w14:paraId="429A62A7" w14:textId="77777777" w:rsidR="00290B97" w:rsidRPr="00D57463" w:rsidRDefault="00290B97" w:rsidP="00290B97">
                            <w:pPr>
                              <w:textAlignment w:val="baseline"/>
                              <w:rPr>
                                <w:rFonts w:eastAsia="Source Sans Pro"/>
                                <w:color w:val="FFFFFF"/>
                                <w:kern w:val="24"/>
                                <w:lang w:val="en-US"/>
                              </w:rPr>
                            </w:pPr>
                            <w:r w:rsidRPr="00D57463">
                              <w:rPr>
                                <w:rFonts w:eastAsia="Source Sans Pro"/>
                                <w:color w:val="FFFFFF"/>
                                <w:kern w:val="24"/>
                                <w:lang w:val="en-US"/>
                              </w:rPr>
                              <w:t>www.clarkemodet.com</w:t>
                            </w:r>
                          </w:p>
                        </w:txbxContent>
                      </wps:txbx>
                      <wps:bodyPr wrap="square">
                        <a:noAutofit/>
                      </wps:bodyPr>
                    </wps:wsp>
                  </a:graphicData>
                </a:graphic>
              </wp:anchor>
            </w:drawing>
          </mc:Choice>
          <mc:Fallback>
            <w:pict>
              <v:shape w14:anchorId="22022612" id="Caixa de texto 23" o:spid="_x0000_s1033" type="#_x0000_t202" style="position:absolute;left:0;text-align:left;margin-left:-4.3pt;margin-top:483.6pt;width:335.9pt;height:75.1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" filled="f" stroked="f">
                <v:textbox>
                  <w:txbxContent>
                    <w:p w14:paraId="05A91514" w14:textId="77777777" w:rsidR="00290B97" w:rsidRPr="00D57463" w:rsidRDefault="00290B97" w:rsidP="00290B97">
                      <w:pPr>
                        <w:textAlignment w:val="baseline"/>
                        <w:rPr>
                          <w:rFonts w:eastAsia="Source Sans Pro"/>
                          <w:color w:val="FFFFFF"/>
                          <w:kern w:val="24"/>
                          <w:sz w:val="24"/>
                          <w:szCs w:val="24"/>
                          <w:lang w:val="en-US"/>
                        </w:rPr>
                      </w:pPr>
                      <w:r w:rsidRPr="00D57463">
                        <w:rPr>
                          <w:rFonts w:eastAsia="Source Sans Pro"/>
                          <w:color w:val="FFFFFF"/>
                          <w:kern w:val="24"/>
                          <w:sz w:val="24"/>
                          <w:szCs w:val="24"/>
                          <w:lang w:val="en-US"/>
                        </w:rPr>
                        <w:t>Consulting Department</w:t>
                      </w:r>
                    </w:p>
                    <w:p w14:paraId="429A62A7" w14:textId="77777777" w:rsidR="00290B97" w:rsidRPr="00D57463" w:rsidRDefault="00290B97" w:rsidP="00290B97">
                      <w:pPr>
                        <w:textAlignment w:val="baseline"/>
                        <w:rPr>
                          <w:rFonts w:eastAsia="Source Sans Pro"/>
                          <w:color w:val="FFFFFF"/>
                          <w:kern w:val="24"/>
                          <w:lang w:val="en-US"/>
                        </w:rPr>
                      </w:pPr>
                      <w:r w:rsidRPr="00D57463">
                        <w:rPr>
                          <w:rFonts w:eastAsia="Source Sans Pro"/>
                          <w:color w:val="FFFFFF"/>
                          <w:kern w:val="24"/>
                          <w:lang w:val="en-US"/>
                        </w:rPr>
                        <w:t>www.clarkemodet.com</w:t>
                      </w:r>
                    </w:p>
                  </w:txbxContent>
                </v:textbox>
              </v:shape>
            </w:pict>
          </mc:Fallback>
        </mc:AlternateContent>
      </w:r>
    </w:p>
    <w:p w14:paraId="45290B8A" w14:textId="27C5E23A" w:rsidR="009B33EA" w:rsidRPr="001376F6" w:rsidRDefault="004771C2">
      <w:pPr>
        <w:spacing w:before="0" w:after="0" w:line="240" w:lineRule="auto"/>
        <w:ind w:firstLine="0"/>
        <w:jc w:val="left"/>
        <w:rPr>
          <w:rFonts w:asciiTheme="majorHAnsi" w:eastAsia="Arial Unicode MS" w:hAnsiTheme="majorHAnsi" w:cs="Arial"/>
          <w:b/>
          <w:bCs/>
          <w:color w:val="0033FF" w:themeColor="accent2"/>
          <w:kern w:val="32"/>
          <w:sz w:val="32"/>
          <w:szCs w:val="24"/>
          <w:lang w:val="en-US" w:eastAsia="es-ES_tradnl"/>
        </w:rPr>
      </w:pPr>
      <w:r w:rsidRPr="008B6ACA">
        <w:rPr>
          <w:noProof/>
          <w:lang w:val="pt-PT"/>
        </w:rPr>
        <w:drawing>
          <wp:anchor distT="0" distB="0" distL="114300" distR="114300" simplePos="0" relativeHeight="251678720" behindDoc="0" locked="0" layoutInCell="1" allowOverlap="1" wp14:anchorId="05474091" wp14:editId="6D848C08">
            <wp:simplePos x="0" y="0"/>
            <wp:positionH relativeFrom="margin">
              <wp:align>left</wp:align>
            </wp:positionH>
            <wp:positionV relativeFrom="paragraph">
              <wp:posOffset>3569335</wp:posOffset>
            </wp:positionV>
            <wp:extent cx="826355" cy="826355"/>
            <wp:effectExtent l="0" t="0" r="0" b="0"/>
            <wp:wrapNone/>
            <wp:docPr id="1752285615" name="Imagen 1752285615" descr="Icono&#10;&#10;Descripción generada automáticamente">
              <a:extLst xmlns:a="http://schemas.openxmlformats.org/drawingml/2006/main">
                <a:ext uri="{FF2B5EF4-FFF2-40B4-BE49-F238E27FC236}">
                  <a16:creationId xmlns:a16="http://schemas.microsoft.com/office/drawing/2014/main" id="{63F7E067-B063-7514-A3A9-FC417E3E2B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0" descr="Icono&#10;&#10;Descripción generada automáticamente">
                      <a:extLst>
                        <a:ext uri="{FF2B5EF4-FFF2-40B4-BE49-F238E27FC236}">
                          <a16:creationId xmlns:a16="http://schemas.microsoft.com/office/drawing/2014/main" id="{63F7E067-B063-7514-A3A9-FC417E3E2B9F}"/>
                        </a:ext>
                      </a:extLst>
                    </pic:cNvPr>
                    <pic:cNvPicPr>
                      <a:picLocks noChangeAspect="1"/>
                    </pic:cNvPicPr>
                  </pic:nvPicPr>
                  <pic:blipFill>
                    <a:blip r:embed="rId46">
                      <a:clrChange>
                        <a:clrFrom>
                          <a:srgbClr val="FFFFFF"/>
                        </a:clrFrom>
                        <a:clrTo>
                          <a:srgbClr val="FFFFFF">
                            <a:alpha val="0"/>
                          </a:srgbClr>
                        </a:clrTo>
                      </a:clrChange>
                    </a:blip>
                    <a:stretch>
                      <a:fillRect/>
                    </a:stretch>
                  </pic:blipFill>
                  <pic:spPr>
                    <a:xfrm>
                      <a:off x="0" y="0"/>
                      <a:ext cx="826355" cy="826355"/>
                    </a:xfrm>
                    <a:prstGeom prst="rect">
                      <a:avLst/>
                    </a:prstGeom>
                  </pic:spPr>
                </pic:pic>
              </a:graphicData>
            </a:graphic>
            <wp14:sizeRelH relativeFrom="margin">
              <wp14:pctWidth>0</wp14:pctWidth>
            </wp14:sizeRelH>
            <wp14:sizeRelV relativeFrom="margin">
              <wp14:pctHeight>0</wp14:pctHeight>
            </wp14:sizeRelV>
          </wp:anchor>
        </w:drawing>
      </w:r>
      <w:r w:rsidRPr="00B838AD">
        <w:rPr>
          <w:noProof/>
        </w:rPr>
        <w:drawing>
          <wp:anchor distT="0" distB="0" distL="114300" distR="114300" simplePos="0" relativeHeight="251673600" behindDoc="0" locked="0" layoutInCell="1" allowOverlap="1" wp14:anchorId="321569C1" wp14:editId="1376FBA8">
            <wp:simplePos x="0" y="0"/>
            <wp:positionH relativeFrom="page">
              <wp:posOffset>19050</wp:posOffset>
            </wp:positionH>
            <wp:positionV relativeFrom="paragraph">
              <wp:posOffset>3512185</wp:posOffset>
            </wp:positionV>
            <wp:extent cx="7539990" cy="988060"/>
            <wp:effectExtent l="0" t="0" r="3810" b="2540"/>
            <wp:wrapNone/>
            <wp:docPr id="120304680" name="Imagen 120304680" descr="Imagen en blanco y negro&#10;&#10;Descripción generada automáticamente con confianza media">
              <a:extLst xmlns:a="http://schemas.openxmlformats.org/drawingml/2006/main">
                <a:ext uri="{FF2B5EF4-FFF2-40B4-BE49-F238E27FC236}">
                  <a16:creationId xmlns:a16="http://schemas.microsoft.com/office/drawing/2014/main" id="{650FD762-2933-A7C8-F045-99B7490F8C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04680" name="Imagen 120304680" descr="Imagen en blanco y negro&#10;&#10;Descripción generada automáticamente con confianza media">
                      <a:extLst>
                        <a:ext uri="{FF2B5EF4-FFF2-40B4-BE49-F238E27FC236}">
                          <a16:creationId xmlns:a16="http://schemas.microsoft.com/office/drawing/2014/main" id="{650FD762-2933-A7C8-F045-99B7490F8C63}"/>
                        </a:ext>
                      </a:extLst>
                    </pic:cNvPr>
                    <pic:cNvPicPr>
                      <a:picLocks noChangeAspect="1"/>
                    </pic:cNvPicPr>
                  </pic:nvPicPr>
                  <pic:blipFill rotWithShape="1">
                    <a:blip r:embed="rId47"/>
                    <a:srcRect t="17153" b="17153"/>
                    <a:stretch/>
                  </pic:blipFill>
                  <pic:spPr>
                    <a:xfrm>
                      <a:off x="0" y="0"/>
                      <a:ext cx="7539990" cy="988060"/>
                    </a:xfrm>
                    <a:prstGeom prst="rect">
                      <a:avLst/>
                    </a:prstGeom>
                  </pic:spPr>
                </pic:pic>
              </a:graphicData>
            </a:graphic>
            <wp14:sizeRelH relativeFrom="margin">
              <wp14:pctWidth>0</wp14:pctWidth>
            </wp14:sizeRelH>
          </wp:anchor>
        </w:drawing>
      </w:r>
    </w:p>
    <w:sectPr w:rsidR="009B33EA" w:rsidRPr="001376F6" w:rsidSect="009543F4">
      <w:headerReference w:type="default" r:id="rId48"/>
      <w:footerReference w:type="default" r:id="rId49"/>
      <w:pgSz w:w="11906" w:h="16838" w:code="9"/>
      <w:pgMar w:top="1701" w:right="1276" w:bottom="1418" w:left="1418" w:header="709" w:footer="15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0BB0E6" w14:textId="77777777" w:rsidR="005F2507" w:rsidRDefault="005F2507">
      <w:r>
        <w:separator/>
      </w:r>
    </w:p>
    <w:p w14:paraId="3B8E50FB" w14:textId="77777777" w:rsidR="005F2507" w:rsidRDefault="005F2507"/>
  </w:endnote>
  <w:endnote w:type="continuationSeparator" w:id="0">
    <w:p w14:paraId="7B5E7F6E" w14:textId="77777777" w:rsidR="005F2507" w:rsidRDefault="005F2507">
      <w:r>
        <w:continuationSeparator/>
      </w:r>
    </w:p>
    <w:p w14:paraId="734B94BF" w14:textId="77777777" w:rsidR="005F2507" w:rsidRDefault="005F2507"/>
  </w:endnote>
  <w:endnote w:type="continuationNotice" w:id="1">
    <w:p w14:paraId="62D1081F" w14:textId="77777777" w:rsidR="005F2507" w:rsidRDefault="005F2507">
      <w:pPr>
        <w:spacing w:before="0" w:after="0" w:line="240" w:lineRule="auto"/>
      </w:pPr>
    </w:p>
    <w:p w14:paraId="08317B1C" w14:textId="77777777" w:rsidR="005F2507" w:rsidRDefault="005F250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Calibri">
    <w:altName w:val="Verdana"/>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Comic Sans MS">
    <w:panose1 w:val="030F0702030302020204"/>
    <w:charset w:val="00"/>
    <w:family w:val="script"/>
    <w:pitch w:val="variable"/>
    <w:sig w:usb0="00000287" w:usb1="00000013" w:usb2="00000000" w:usb3="00000000" w:csb0="0000009F" w:csb1="00000000"/>
  </w:font>
  <w:font w:name="ff3">
    <w:altName w:val="Times New Roman"/>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ource Sans Pro SemiBold">
    <w:charset w:val="00"/>
    <w:family w:val="swiss"/>
    <w:pitch w:val="variable"/>
    <w:sig w:usb0="600002F7" w:usb1="02000001" w:usb2="00000000" w:usb3="00000000" w:csb0="0000019F" w:csb1="00000000"/>
  </w:font>
  <w:font w:name="Source Sans Pro">
    <w:charset w:val="00"/>
    <w:family w:val="swiss"/>
    <w:pitch w:val="variable"/>
    <w:sig w:usb0="600002F7" w:usb1="02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77B55A" w14:textId="48650225" w:rsidR="00CC4C2C" w:rsidRDefault="00BD3443" w:rsidP="009543F4">
    <w:pPr>
      <w:pStyle w:val="Rodap"/>
      <w:jc w:val="center"/>
    </w:pPr>
    <w:r>
      <w:rPr>
        <w:noProof/>
      </w:rPr>
      <w:drawing>
        <wp:anchor distT="0" distB="0" distL="114300" distR="114300" simplePos="0" relativeHeight="251663361" behindDoc="1" locked="0" layoutInCell="1" allowOverlap="1" wp14:anchorId="4199D3AC" wp14:editId="06DEA858">
          <wp:simplePos x="0" y="0"/>
          <wp:positionH relativeFrom="margin">
            <wp:posOffset>-1650365</wp:posOffset>
          </wp:positionH>
          <wp:positionV relativeFrom="paragraph">
            <wp:posOffset>-172486</wp:posOffset>
          </wp:positionV>
          <wp:extent cx="9150985" cy="158750"/>
          <wp:effectExtent l="0" t="0" r="0" b="0"/>
          <wp:wrapNone/>
          <wp:docPr id="1844173127" name="Picture 1844173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50985" cy="158750"/>
                  </a:xfrm>
                  <a:prstGeom prst="rect">
                    <a:avLst/>
                  </a:prstGeom>
                  <a:noFill/>
                </pic:spPr>
              </pic:pic>
            </a:graphicData>
          </a:graphic>
        </wp:anchor>
      </w:drawing>
    </w:r>
    <w:sdt>
      <w:sdtPr>
        <w:id w:val="-383710193"/>
        <w:docPartObj>
          <w:docPartGallery w:val="Page Numbers (Bottom of Page)"/>
          <w:docPartUnique/>
        </w:docPartObj>
      </w:sdtPr>
      <w:sdtContent>
        <w:r w:rsidR="00E37D40">
          <w:fldChar w:fldCharType="begin"/>
        </w:r>
        <w:r w:rsidR="00E37D40">
          <w:instrText>PAGE   \* MERGEFORMAT</w:instrText>
        </w:r>
        <w:r w:rsidR="00E37D40">
          <w:fldChar w:fldCharType="separate"/>
        </w:r>
        <w:r w:rsidR="00E37D40">
          <w:t>2</w:t>
        </w:r>
        <w:r w:rsidR="00E37D40">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CCC023" w14:textId="77777777" w:rsidR="005F2507" w:rsidRDefault="005F2507">
      <w:r>
        <w:separator/>
      </w:r>
    </w:p>
    <w:p w14:paraId="66F3C4D8" w14:textId="77777777" w:rsidR="005F2507" w:rsidRDefault="005F2507"/>
  </w:footnote>
  <w:footnote w:type="continuationSeparator" w:id="0">
    <w:p w14:paraId="3FC5A11F" w14:textId="77777777" w:rsidR="005F2507" w:rsidRDefault="005F2507">
      <w:r>
        <w:continuationSeparator/>
      </w:r>
    </w:p>
    <w:p w14:paraId="1BC3010C" w14:textId="77777777" w:rsidR="005F2507" w:rsidRDefault="005F2507"/>
  </w:footnote>
  <w:footnote w:type="continuationNotice" w:id="1">
    <w:p w14:paraId="1D98FC13" w14:textId="77777777" w:rsidR="005F2507" w:rsidRDefault="005F2507">
      <w:pPr>
        <w:spacing w:before="0" w:after="0" w:line="240" w:lineRule="auto"/>
      </w:pPr>
    </w:p>
    <w:p w14:paraId="110B257E" w14:textId="77777777" w:rsidR="005F2507" w:rsidRDefault="005F2507"/>
  </w:footnote>
  <w:footnote w:id="2">
    <w:p w14:paraId="076FAD73" w14:textId="77777777" w:rsidR="00473A83" w:rsidRPr="002E030A" w:rsidRDefault="00473A83" w:rsidP="00AF6BFD">
      <w:pPr>
        <w:pStyle w:val="Textodenotaderodap"/>
        <w:spacing w:line="240" w:lineRule="auto"/>
        <w:ind w:firstLine="0"/>
        <w:rPr>
          <w:sz w:val="16"/>
          <w:szCs w:val="16"/>
        </w:rPr>
      </w:pPr>
      <w:r w:rsidRPr="002E030A">
        <w:rPr>
          <w:rStyle w:val="Refdenotaderodap"/>
          <w:sz w:val="16"/>
          <w:szCs w:val="16"/>
        </w:rPr>
        <w:footnoteRef/>
      </w:r>
      <w:hyperlink r:id="rId1" w:history="1">
        <w:r w:rsidRPr="002E030A">
          <w:rPr>
            <w:rStyle w:val="Hiperligao"/>
            <w:sz w:val="16"/>
            <w:szCs w:val="16"/>
          </w:rPr>
          <w:t xml:space="preserve"> https://www.uspto.gov/patents/search</w:t>
        </w:r>
      </w:hyperlink>
    </w:p>
  </w:footnote>
  <w:footnote w:id="3">
    <w:p w14:paraId="625DD12B" w14:textId="77777777" w:rsidR="00473A83" w:rsidRPr="002E030A" w:rsidRDefault="00473A83" w:rsidP="00AF6BFD">
      <w:pPr>
        <w:pStyle w:val="Textodenotaderodap"/>
        <w:spacing w:line="240" w:lineRule="auto"/>
        <w:ind w:firstLine="0"/>
        <w:rPr>
          <w:sz w:val="16"/>
          <w:szCs w:val="16"/>
        </w:rPr>
      </w:pPr>
      <w:r w:rsidRPr="002E030A">
        <w:rPr>
          <w:rStyle w:val="Refdenotaderodap"/>
          <w:sz w:val="16"/>
          <w:szCs w:val="16"/>
        </w:rPr>
        <w:footnoteRef/>
      </w:r>
      <w:hyperlink r:id="rId2" w:history="1">
        <w:r w:rsidRPr="002E030A">
          <w:rPr>
            <w:rStyle w:val="Hiperligao"/>
            <w:sz w:val="16"/>
            <w:szCs w:val="16"/>
          </w:rPr>
          <w:t xml:space="preserve"> https://patentscope.wipo.int/search/en/search.jsf</w:t>
        </w:r>
      </w:hyperlink>
    </w:p>
  </w:footnote>
  <w:footnote w:id="4">
    <w:p w14:paraId="442E47E5" w14:textId="77777777" w:rsidR="00473A83" w:rsidRPr="002E030A" w:rsidRDefault="00473A83" w:rsidP="00AF6BFD">
      <w:pPr>
        <w:pStyle w:val="Textodenotaderodap"/>
        <w:spacing w:line="240" w:lineRule="auto"/>
        <w:ind w:firstLine="0"/>
        <w:rPr>
          <w:sz w:val="16"/>
          <w:szCs w:val="16"/>
        </w:rPr>
      </w:pPr>
      <w:r w:rsidRPr="002E030A">
        <w:rPr>
          <w:rStyle w:val="Refdenotaderodap"/>
          <w:sz w:val="16"/>
          <w:szCs w:val="16"/>
        </w:rPr>
        <w:footnoteRef/>
      </w:r>
      <w:hyperlink r:id="rId3" w:history="1">
        <w:r w:rsidRPr="002E030A">
          <w:rPr>
            <w:rStyle w:val="Hiperligao"/>
            <w:sz w:val="16"/>
            <w:szCs w:val="16"/>
          </w:rPr>
          <w:t xml:space="preserve"> https://www.epo.org/searching-for-patents.html</w:t>
        </w:r>
      </w:hyperlink>
    </w:p>
  </w:footnote>
  <w:footnote w:id="5">
    <w:p w14:paraId="3E88FDE6" w14:textId="77777777" w:rsidR="00473A83" w:rsidRPr="002E030A" w:rsidRDefault="00473A83" w:rsidP="00AF6BFD">
      <w:pPr>
        <w:pStyle w:val="Textodenotaderodap"/>
        <w:spacing w:line="240" w:lineRule="auto"/>
        <w:ind w:firstLine="0"/>
        <w:rPr>
          <w:sz w:val="16"/>
          <w:szCs w:val="16"/>
        </w:rPr>
      </w:pPr>
      <w:r w:rsidRPr="002E030A">
        <w:rPr>
          <w:rStyle w:val="Refdenotaderodap"/>
          <w:sz w:val="16"/>
          <w:szCs w:val="16"/>
        </w:rPr>
        <w:footnoteRef/>
      </w:r>
      <w:hyperlink r:id="rId4" w:history="1">
        <w:r w:rsidRPr="002E030A">
          <w:rPr>
            <w:rStyle w:val="Hiperligao"/>
            <w:sz w:val="16"/>
            <w:szCs w:val="16"/>
          </w:rPr>
          <w:t xml:space="preserve"> https://ieeexplore.ieee.org/Xplore/home.jsp</w:t>
        </w:r>
      </w:hyperlink>
    </w:p>
  </w:footnote>
  <w:footnote w:id="6">
    <w:p w14:paraId="28813500" w14:textId="77777777" w:rsidR="00473A83" w:rsidRPr="002E030A" w:rsidRDefault="00473A83" w:rsidP="00AF6BFD">
      <w:pPr>
        <w:pStyle w:val="Textodenotaderodap"/>
        <w:spacing w:line="240" w:lineRule="auto"/>
        <w:ind w:firstLine="0"/>
        <w:rPr>
          <w:sz w:val="16"/>
          <w:szCs w:val="16"/>
        </w:rPr>
      </w:pPr>
      <w:r w:rsidRPr="002E030A">
        <w:rPr>
          <w:rStyle w:val="Refdenotaderodap"/>
          <w:sz w:val="16"/>
          <w:szCs w:val="16"/>
        </w:rPr>
        <w:footnoteRef/>
      </w:r>
      <w:hyperlink r:id="rId5" w:history="1">
        <w:r w:rsidRPr="002E030A">
          <w:rPr>
            <w:rStyle w:val="Hiperligao"/>
            <w:sz w:val="16"/>
            <w:szCs w:val="16"/>
          </w:rPr>
          <w:t xml:space="preserve"> https://www.sciencedirect.com/</w:t>
        </w:r>
      </w:hyperlink>
    </w:p>
  </w:footnote>
  <w:footnote w:id="7">
    <w:p w14:paraId="7FDB0FAC" w14:textId="77777777" w:rsidR="00473A83" w:rsidRPr="002E030A" w:rsidRDefault="00473A83" w:rsidP="00AF6BFD">
      <w:pPr>
        <w:pStyle w:val="Textodenotaderodap"/>
        <w:spacing w:line="240" w:lineRule="auto"/>
        <w:ind w:firstLine="0"/>
        <w:rPr>
          <w:sz w:val="16"/>
          <w:szCs w:val="16"/>
        </w:rPr>
      </w:pPr>
      <w:r w:rsidRPr="002E030A">
        <w:rPr>
          <w:rStyle w:val="Refdenotaderodap"/>
          <w:sz w:val="16"/>
          <w:szCs w:val="16"/>
        </w:rPr>
        <w:footnoteRef/>
      </w:r>
      <w:hyperlink r:id="rId6" w:history="1">
        <w:r w:rsidRPr="002E030A">
          <w:rPr>
            <w:rStyle w:val="Hiperligao"/>
            <w:sz w:val="16"/>
            <w:szCs w:val="16"/>
          </w:rPr>
          <w:t xml:space="preserve"> https://scholar.google.es/</w:t>
        </w:r>
      </w:hyperlink>
    </w:p>
  </w:footnote>
  <w:footnote w:id="8">
    <w:p w14:paraId="11F52F0D" w14:textId="77777777" w:rsidR="00473A83" w:rsidRPr="002E030A" w:rsidRDefault="00473A83" w:rsidP="00AF6BFD">
      <w:pPr>
        <w:pStyle w:val="Textodenotaderodap"/>
        <w:spacing w:line="240" w:lineRule="auto"/>
        <w:ind w:firstLine="0"/>
        <w:rPr>
          <w:sz w:val="16"/>
          <w:szCs w:val="16"/>
        </w:rPr>
      </w:pPr>
      <w:r w:rsidRPr="002E030A">
        <w:rPr>
          <w:rStyle w:val="Refdenotaderodap"/>
          <w:sz w:val="16"/>
          <w:szCs w:val="16"/>
        </w:rPr>
        <w:footnoteRef/>
      </w:r>
      <w:hyperlink r:id="rId7" w:history="1">
        <w:r w:rsidRPr="002E030A">
          <w:rPr>
            <w:rStyle w:val="Hiperligao"/>
            <w:sz w:val="16"/>
            <w:szCs w:val="16"/>
          </w:rPr>
          <w:t xml:space="preserve"> https://www.scopus.com/home.uri</w:t>
        </w:r>
      </w:hyperlink>
    </w:p>
  </w:footnote>
  <w:footnote w:id="9">
    <w:p w14:paraId="061AB90D" w14:textId="55D94BB9" w:rsidR="00473A83" w:rsidRDefault="00473A83" w:rsidP="00AF6BFD">
      <w:pPr>
        <w:pStyle w:val="Textodenotaderodap"/>
        <w:spacing w:line="240" w:lineRule="auto"/>
        <w:ind w:firstLine="0"/>
      </w:pPr>
      <w:r w:rsidRPr="002E030A">
        <w:rPr>
          <w:rStyle w:val="Refdenotaderodap"/>
          <w:sz w:val="16"/>
          <w:szCs w:val="16"/>
        </w:rPr>
        <w:footnoteRef/>
      </w:r>
      <w:hyperlink r:id="rId8" w:history="1">
        <w:r w:rsidR="002E030A" w:rsidRPr="00F96A68">
          <w:rPr>
            <w:rStyle w:val="Hiperligao"/>
            <w:sz w:val="16"/>
            <w:szCs w:val="16"/>
          </w:rPr>
          <w:t>https://clarivate.com/products/scientific-and-academic-research/research-discovery-and-workflow-solutions/webofscience-platform/</w:t>
        </w:r>
      </w:hyperlink>
    </w:p>
  </w:footnote>
  <w:footnote w:id="10">
    <w:p w14:paraId="4A39EB75" w14:textId="77777777" w:rsidR="00473A83" w:rsidRPr="002E030A" w:rsidRDefault="00473A83" w:rsidP="00AF6BFD">
      <w:pPr>
        <w:pStyle w:val="Textodenotaderodap"/>
        <w:spacing w:line="240" w:lineRule="auto"/>
        <w:ind w:firstLine="0"/>
        <w:rPr>
          <w:sz w:val="16"/>
          <w:szCs w:val="16"/>
        </w:rPr>
      </w:pPr>
      <w:r w:rsidRPr="002E030A">
        <w:rPr>
          <w:rStyle w:val="Refdenotaderodap"/>
          <w:sz w:val="16"/>
          <w:szCs w:val="16"/>
        </w:rPr>
        <w:footnoteRef/>
      </w:r>
      <w:hyperlink r:id="rId9" w:history="1">
        <w:r w:rsidRPr="002E030A">
          <w:rPr>
            <w:rStyle w:val="Hiperligao"/>
            <w:sz w:val="16"/>
            <w:szCs w:val="16"/>
          </w:rPr>
          <w:t xml:space="preserve"> https://techcrunch.com/</w:t>
        </w:r>
      </w:hyperlink>
    </w:p>
  </w:footnote>
  <w:footnote w:id="11">
    <w:p w14:paraId="2B0AC923" w14:textId="77777777" w:rsidR="00473A83" w:rsidRPr="002E030A" w:rsidRDefault="00473A83" w:rsidP="00AF6BFD">
      <w:pPr>
        <w:pStyle w:val="Textodenotaderodap"/>
        <w:spacing w:line="240" w:lineRule="auto"/>
        <w:ind w:firstLine="0"/>
        <w:rPr>
          <w:sz w:val="16"/>
          <w:szCs w:val="16"/>
        </w:rPr>
      </w:pPr>
      <w:r w:rsidRPr="002E030A">
        <w:rPr>
          <w:rStyle w:val="Refdenotaderodap"/>
          <w:sz w:val="16"/>
          <w:szCs w:val="16"/>
        </w:rPr>
        <w:footnoteRef/>
      </w:r>
      <w:hyperlink r:id="rId10" w:history="1">
        <w:r w:rsidRPr="002E030A">
          <w:rPr>
            <w:rStyle w:val="Hiperligao"/>
            <w:sz w:val="16"/>
            <w:szCs w:val="16"/>
          </w:rPr>
          <w:t xml:space="preserve"> https://www.wired.com/</w:t>
        </w:r>
      </w:hyperlink>
    </w:p>
  </w:footnote>
  <w:footnote w:id="12">
    <w:p w14:paraId="57D31131" w14:textId="77777777" w:rsidR="00473A83" w:rsidRPr="002E030A" w:rsidRDefault="00473A83" w:rsidP="00AF6BFD">
      <w:pPr>
        <w:pStyle w:val="Textodenotaderodap"/>
        <w:spacing w:line="240" w:lineRule="auto"/>
        <w:ind w:firstLine="0"/>
        <w:rPr>
          <w:sz w:val="16"/>
          <w:szCs w:val="16"/>
        </w:rPr>
      </w:pPr>
      <w:r w:rsidRPr="002E030A">
        <w:rPr>
          <w:rStyle w:val="Refdenotaderodap"/>
          <w:sz w:val="16"/>
          <w:szCs w:val="16"/>
        </w:rPr>
        <w:footnoteRef/>
      </w:r>
      <w:hyperlink r:id="rId11" w:history="1">
        <w:r w:rsidRPr="002E030A">
          <w:rPr>
            <w:rStyle w:val="Hiperligao"/>
            <w:sz w:val="16"/>
            <w:szCs w:val="16"/>
          </w:rPr>
          <w:t xml:space="preserve"> https://www.theverge.com/</w:t>
        </w:r>
      </w:hyperlink>
    </w:p>
  </w:footnote>
  <w:footnote w:id="13">
    <w:p w14:paraId="57475798" w14:textId="77777777" w:rsidR="00473A83" w:rsidRPr="00AF6BFD" w:rsidRDefault="00473A83" w:rsidP="00AF6BFD">
      <w:pPr>
        <w:pStyle w:val="Textodenotaderodap"/>
        <w:spacing w:line="240" w:lineRule="auto"/>
        <w:ind w:firstLine="0"/>
        <w:rPr>
          <w:sz w:val="16"/>
          <w:szCs w:val="16"/>
        </w:rPr>
      </w:pPr>
      <w:r w:rsidRPr="00AF6BFD">
        <w:rPr>
          <w:rStyle w:val="Refdenotaderodap"/>
          <w:sz w:val="16"/>
          <w:szCs w:val="16"/>
        </w:rPr>
        <w:footnoteRef/>
      </w:r>
      <w:hyperlink r:id="rId12" w:history="1">
        <w:r w:rsidRPr="00AF6BFD">
          <w:rPr>
            <w:rStyle w:val="Hiperligao"/>
            <w:sz w:val="16"/>
            <w:szCs w:val="16"/>
          </w:rPr>
          <w:t xml:space="preserve"> https://www.crunchbase.com/</w:t>
        </w:r>
      </w:hyperlink>
    </w:p>
  </w:footnote>
  <w:footnote w:id="14">
    <w:p w14:paraId="66F85768" w14:textId="77777777" w:rsidR="00473A83" w:rsidRPr="00AF6BFD" w:rsidRDefault="00473A83" w:rsidP="00AF6BFD">
      <w:pPr>
        <w:pStyle w:val="Textodenotaderodap"/>
        <w:spacing w:line="240" w:lineRule="auto"/>
        <w:ind w:firstLine="0"/>
        <w:rPr>
          <w:sz w:val="16"/>
          <w:szCs w:val="16"/>
        </w:rPr>
      </w:pPr>
      <w:r w:rsidRPr="00AF6BFD">
        <w:rPr>
          <w:rStyle w:val="Refdenotaderodap"/>
          <w:sz w:val="16"/>
          <w:szCs w:val="16"/>
        </w:rPr>
        <w:footnoteRef/>
      </w:r>
      <w:hyperlink r:id="rId13" w:history="1">
        <w:r w:rsidRPr="00AF6BFD">
          <w:rPr>
            <w:rStyle w:val="Hiperligao"/>
            <w:sz w:val="16"/>
            <w:szCs w:val="16"/>
          </w:rPr>
          <w:t xml:space="preserve"> https://www.angellist.com/</w:t>
        </w:r>
      </w:hyperlink>
    </w:p>
  </w:footnote>
  <w:footnote w:id="15">
    <w:p w14:paraId="603E0DEA" w14:textId="77777777" w:rsidR="00473A83" w:rsidRPr="00AF6BFD" w:rsidRDefault="00473A83" w:rsidP="00487E3D">
      <w:pPr>
        <w:pStyle w:val="Textodenotaderodap"/>
        <w:spacing w:line="240" w:lineRule="auto"/>
        <w:ind w:firstLine="0"/>
        <w:rPr>
          <w:sz w:val="16"/>
          <w:szCs w:val="16"/>
        </w:rPr>
      </w:pPr>
      <w:r w:rsidRPr="00AF6BFD">
        <w:rPr>
          <w:rStyle w:val="Refdenotaderodap"/>
          <w:sz w:val="16"/>
          <w:szCs w:val="16"/>
        </w:rPr>
        <w:footnoteRef/>
      </w:r>
      <w:hyperlink r:id="rId14" w:history="1">
        <w:r w:rsidRPr="00AF6BFD">
          <w:rPr>
            <w:rStyle w:val="Hiperligao"/>
            <w:sz w:val="16"/>
            <w:szCs w:val="16"/>
          </w:rPr>
          <w:t xml:space="preserve"> https://ideascale.com/</w:t>
        </w:r>
      </w:hyperlink>
    </w:p>
  </w:footnote>
  <w:footnote w:id="16">
    <w:p w14:paraId="47A8C1BE" w14:textId="77777777" w:rsidR="00473A83" w:rsidRPr="00AF6BFD" w:rsidRDefault="00473A83" w:rsidP="00487E3D">
      <w:pPr>
        <w:pStyle w:val="Textodenotaderodap"/>
        <w:spacing w:line="240" w:lineRule="auto"/>
        <w:ind w:firstLine="0"/>
        <w:rPr>
          <w:sz w:val="16"/>
          <w:szCs w:val="16"/>
        </w:rPr>
      </w:pPr>
      <w:r w:rsidRPr="00AF6BFD">
        <w:rPr>
          <w:rStyle w:val="Refdenotaderodap"/>
          <w:sz w:val="16"/>
          <w:szCs w:val="16"/>
        </w:rPr>
        <w:footnoteRef/>
      </w:r>
      <w:hyperlink r:id="rId15" w:history="1">
        <w:r w:rsidRPr="00AF6BFD">
          <w:rPr>
            <w:rStyle w:val="Hiperligao"/>
            <w:sz w:val="16"/>
            <w:szCs w:val="16"/>
          </w:rPr>
          <w:t xml:space="preserve"> https://www.brightidea.com/</w:t>
        </w:r>
      </w:hyperlink>
    </w:p>
  </w:footnote>
  <w:footnote w:id="17">
    <w:p w14:paraId="301D79E7" w14:textId="77777777" w:rsidR="00473A83" w:rsidRPr="00AF6BFD" w:rsidRDefault="00473A83" w:rsidP="00487E3D">
      <w:pPr>
        <w:pStyle w:val="Textodenotaderodap"/>
        <w:spacing w:line="240" w:lineRule="auto"/>
        <w:ind w:firstLine="0"/>
        <w:rPr>
          <w:sz w:val="16"/>
          <w:szCs w:val="16"/>
        </w:rPr>
      </w:pPr>
      <w:r w:rsidRPr="00AF6BFD">
        <w:rPr>
          <w:rStyle w:val="Refdenotaderodap"/>
          <w:sz w:val="16"/>
          <w:szCs w:val="16"/>
        </w:rPr>
        <w:footnoteRef/>
      </w:r>
      <w:hyperlink r:id="rId16" w:history="1">
        <w:r w:rsidRPr="00AF6BFD">
          <w:rPr>
            <w:rStyle w:val="Hiperligao"/>
            <w:sz w:val="16"/>
            <w:szCs w:val="16"/>
          </w:rPr>
          <w:t xml:space="preserve"> https://www.ideaconnection.com/software/spigit-273.html</w:t>
        </w:r>
      </w:hyperlink>
    </w:p>
  </w:footnote>
  <w:footnote w:id="18">
    <w:p w14:paraId="75DA71A0" w14:textId="77777777" w:rsidR="00473A83" w:rsidRPr="00AF6BFD" w:rsidRDefault="00473A83" w:rsidP="00487E3D">
      <w:pPr>
        <w:pStyle w:val="Textodenotaderodap"/>
        <w:spacing w:line="240" w:lineRule="auto"/>
        <w:ind w:firstLine="0"/>
        <w:rPr>
          <w:sz w:val="16"/>
          <w:szCs w:val="16"/>
        </w:rPr>
      </w:pPr>
      <w:r w:rsidRPr="00AF6BFD">
        <w:rPr>
          <w:rStyle w:val="Refdenotaderodap"/>
          <w:sz w:val="16"/>
          <w:szCs w:val="16"/>
        </w:rPr>
        <w:footnoteRef/>
      </w:r>
      <w:hyperlink r:id="rId17" w:history="1">
        <w:r w:rsidRPr="00AF6BFD">
          <w:rPr>
            <w:rStyle w:val="Hiperligao"/>
            <w:sz w:val="16"/>
            <w:szCs w:val="16"/>
          </w:rPr>
          <w:t xml:space="preserve"> https://www.cbinsights.com/</w:t>
        </w:r>
      </w:hyperlink>
    </w:p>
  </w:footnote>
  <w:footnote w:id="19">
    <w:p w14:paraId="5845F7BE" w14:textId="6FF41E58" w:rsidR="00473A83" w:rsidRPr="00AF6BFD" w:rsidRDefault="00473A83" w:rsidP="00487E3D">
      <w:pPr>
        <w:pStyle w:val="Textodenotaderodap"/>
        <w:spacing w:line="240" w:lineRule="auto"/>
        <w:ind w:firstLine="0"/>
        <w:rPr>
          <w:sz w:val="16"/>
          <w:szCs w:val="16"/>
        </w:rPr>
      </w:pPr>
      <w:r w:rsidRPr="00AF6BFD">
        <w:rPr>
          <w:rStyle w:val="Refdenotaderodap"/>
          <w:sz w:val="16"/>
          <w:szCs w:val="16"/>
        </w:rPr>
        <w:footnoteRef/>
      </w:r>
      <w:hyperlink r:id="rId18" w:history="1">
        <w:r w:rsidR="00466CDB" w:rsidRPr="00F96A68">
          <w:rPr>
            <w:rStyle w:val="Hiperligao"/>
            <w:sz w:val="16"/>
            <w:szCs w:val="16"/>
          </w:rPr>
          <w:t>https://www.gartner.com/reviews/market/competitive-and-market-intelligence-tools-for-technology-and-service-providers</w:t>
        </w:r>
      </w:hyperlink>
    </w:p>
  </w:footnote>
  <w:footnote w:id="20">
    <w:p w14:paraId="0F3E0E2A" w14:textId="77777777" w:rsidR="00473A83" w:rsidRPr="00AF6BFD" w:rsidRDefault="00473A83" w:rsidP="00487E3D">
      <w:pPr>
        <w:pStyle w:val="Textodenotaderodap"/>
        <w:spacing w:line="240" w:lineRule="auto"/>
        <w:ind w:firstLine="0"/>
        <w:rPr>
          <w:sz w:val="16"/>
          <w:szCs w:val="16"/>
        </w:rPr>
      </w:pPr>
      <w:r w:rsidRPr="00AF6BFD">
        <w:rPr>
          <w:rStyle w:val="Refdenotaderodap"/>
          <w:sz w:val="16"/>
          <w:szCs w:val="16"/>
        </w:rPr>
        <w:footnoteRef/>
      </w:r>
      <w:hyperlink r:id="rId19" w:history="1">
        <w:r w:rsidRPr="00AF6BFD">
          <w:rPr>
            <w:rStyle w:val="Hiperligao"/>
            <w:sz w:val="16"/>
            <w:szCs w:val="16"/>
          </w:rPr>
          <w:t xml:space="preserve"> https://www.wazoku.com/challenges/</w:t>
        </w:r>
      </w:hyperlink>
    </w:p>
  </w:footnote>
  <w:footnote w:id="21">
    <w:p w14:paraId="5AB22870" w14:textId="77777777" w:rsidR="00473A83" w:rsidRPr="00AF6BFD" w:rsidRDefault="00473A83" w:rsidP="00487E3D">
      <w:pPr>
        <w:pStyle w:val="Textodenotaderodap"/>
        <w:spacing w:line="240" w:lineRule="auto"/>
        <w:ind w:firstLine="0"/>
        <w:rPr>
          <w:sz w:val="16"/>
          <w:szCs w:val="16"/>
        </w:rPr>
      </w:pPr>
      <w:r w:rsidRPr="00AF6BFD">
        <w:rPr>
          <w:rStyle w:val="Refdenotaderodap"/>
          <w:sz w:val="16"/>
          <w:szCs w:val="16"/>
        </w:rPr>
        <w:footnoteRef/>
      </w:r>
      <w:hyperlink r:id="rId20" w:history="1">
        <w:r w:rsidRPr="00AF6BFD">
          <w:rPr>
            <w:rStyle w:val="Hiperligao"/>
            <w:sz w:val="16"/>
            <w:szCs w:val="16"/>
          </w:rPr>
          <w:t xml:space="preserve"> https://www.ninesigma.com/</w:t>
        </w:r>
      </w:hyperlink>
    </w:p>
  </w:footnote>
  <w:footnote w:id="22">
    <w:p w14:paraId="7FC63FF4" w14:textId="77777777" w:rsidR="00473A83" w:rsidRPr="00AF6BFD" w:rsidRDefault="00473A83" w:rsidP="00487E3D">
      <w:pPr>
        <w:pStyle w:val="Textodenotaderodap"/>
        <w:spacing w:line="240" w:lineRule="auto"/>
        <w:ind w:firstLine="0"/>
        <w:rPr>
          <w:sz w:val="16"/>
          <w:szCs w:val="16"/>
        </w:rPr>
      </w:pPr>
      <w:r w:rsidRPr="00AF6BFD">
        <w:rPr>
          <w:rStyle w:val="Refdenotaderodap"/>
          <w:sz w:val="16"/>
          <w:szCs w:val="16"/>
        </w:rPr>
        <w:footnoteRef/>
      </w:r>
      <w:hyperlink r:id="rId21" w:history="1">
        <w:r w:rsidRPr="00AF6BFD">
          <w:rPr>
            <w:rStyle w:val="Hiperligao"/>
            <w:sz w:val="16"/>
            <w:szCs w:val="16"/>
          </w:rPr>
          <w:t xml:space="preserve"> https://cipher.ai/</w:t>
        </w:r>
      </w:hyperlink>
    </w:p>
  </w:footnote>
  <w:footnote w:id="23">
    <w:p w14:paraId="739069BA" w14:textId="77777777" w:rsidR="00473A83" w:rsidRPr="00AF6BFD" w:rsidRDefault="00473A83" w:rsidP="00487E3D">
      <w:pPr>
        <w:pStyle w:val="Textodenotaderodap"/>
        <w:spacing w:line="240" w:lineRule="auto"/>
        <w:ind w:firstLine="0"/>
        <w:rPr>
          <w:sz w:val="16"/>
          <w:szCs w:val="16"/>
        </w:rPr>
      </w:pPr>
      <w:r w:rsidRPr="00AF6BFD">
        <w:rPr>
          <w:rStyle w:val="Refdenotaderodap"/>
          <w:sz w:val="16"/>
          <w:szCs w:val="16"/>
        </w:rPr>
        <w:footnoteRef/>
      </w:r>
      <w:hyperlink r:id="rId22" w:history="1">
        <w:r w:rsidRPr="00AF6BFD">
          <w:rPr>
            <w:rStyle w:val="Hiperligao"/>
            <w:sz w:val="16"/>
            <w:szCs w:val="16"/>
          </w:rPr>
          <w:t xml:space="preserve"> https://www.patsnap.com/</w:t>
        </w:r>
      </w:hyperlink>
    </w:p>
  </w:footnote>
  <w:footnote w:id="24">
    <w:p w14:paraId="0634E89A" w14:textId="77777777" w:rsidR="00473A83" w:rsidRDefault="00473A83" w:rsidP="00487E3D">
      <w:pPr>
        <w:pStyle w:val="Textodenotaderodap"/>
        <w:spacing w:line="240" w:lineRule="auto"/>
        <w:ind w:firstLine="0"/>
      </w:pPr>
      <w:r w:rsidRPr="00AF6BFD">
        <w:rPr>
          <w:rStyle w:val="Refdenotaderodap"/>
          <w:sz w:val="16"/>
          <w:szCs w:val="16"/>
        </w:rPr>
        <w:footnoteRef/>
      </w:r>
      <w:hyperlink r:id="rId23" w:history="1">
        <w:r w:rsidRPr="00AF6BFD">
          <w:rPr>
            <w:rStyle w:val="Hiperligao"/>
            <w:sz w:val="16"/>
            <w:szCs w:val="16"/>
          </w:rPr>
          <w:t xml:space="preserve"> https://clarivate.com/products/ip-intelligence/patent-intelligence-software/innography/</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2BBDE" w14:textId="75749840" w:rsidR="00E229CE" w:rsidRDefault="009543F4" w:rsidP="009E1802">
    <w:pPr>
      <w:pStyle w:val="Cabealho"/>
      <w:ind w:firstLine="0"/>
    </w:pPr>
    <w:r w:rsidRPr="00985E0F">
      <w:rPr>
        <w:noProof/>
      </w:rPr>
      <w:drawing>
        <wp:anchor distT="0" distB="0" distL="114300" distR="114300" simplePos="0" relativeHeight="251661313" behindDoc="0" locked="0" layoutInCell="1" allowOverlap="1" wp14:anchorId="537FA112" wp14:editId="7A95CF2F">
          <wp:simplePos x="0" y="0"/>
          <wp:positionH relativeFrom="page">
            <wp:posOffset>827773</wp:posOffset>
          </wp:positionH>
          <wp:positionV relativeFrom="paragraph">
            <wp:posOffset>-257710</wp:posOffset>
          </wp:positionV>
          <wp:extent cx="774700" cy="731520"/>
          <wp:effectExtent l="0" t="0" r="6350" b="0"/>
          <wp:wrapNone/>
          <wp:docPr id="1309261080" name="Imagen 1309261080" descr="Logotipo, nombre de la empresa&#10;&#10;Descripción generada automáticamente">
            <a:extLst xmlns:a="http://schemas.openxmlformats.org/drawingml/2006/main">
              <a:ext uri="{FF2B5EF4-FFF2-40B4-BE49-F238E27FC236}">
                <a16:creationId xmlns:a16="http://schemas.microsoft.com/office/drawing/2014/main" id="{9CEBE2E4-BB87-B891-0285-25F0915572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38725" name="Imagen 182938725" descr="Logotipo, nombre de la empresa&#10;&#10;Descripción generada automáticamente">
                    <a:extLst>
                      <a:ext uri="{FF2B5EF4-FFF2-40B4-BE49-F238E27FC236}">
                        <a16:creationId xmlns:a16="http://schemas.microsoft.com/office/drawing/2014/main" id="{9CEBE2E4-BB87-B891-0285-25F091557293}"/>
                      </a:ext>
                    </a:extLst>
                  </pic:cNvPr>
                  <pic:cNvPicPr>
                    <a:picLocks noChangeAspect="1"/>
                  </pic:cNvPicPr>
                </pic:nvPicPr>
                <pic:blipFill rotWithShape="1">
                  <a:blip r:embed="rId1"/>
                  <a:srcRect t="7273" r="58233" b="13717"/>
                  <a:stretch/>
                </pic:blipFill>
                <pic:spPr bwMode="auto">
                  <a:xfrm>
                    <a:off x="0" y="0"/>
                    <a:ext cx="774700" cy="7315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12F5">
      <w:rPr>
        <w:noProof/>
      </w:rPr>
      <w:drawing>
        <wp:anchor distT="0" distB="0" distL="114300" distR="114300" simplePos="0" relativeHeight="251660289" behindDoc="0" locked="0" layoutInCell="1" allowOverlap="1" wp14:anchorId="56F22368" wp14:editId="7E18C0EA">
          <wp:simplePos x="0" y="0"/>
          <wp:positionH relativeFrom="page">
            <wp:posOffset>1917065</wp:posOffset>
          </wp:positionH>
          <wp:positionV relativeFrom="paragraph">
            <wp:posOffset>-133985</wp:posOffset>
          </wp:positionV>
          <wp:extent cx="855980" cy="485775"/>
          <wp:effectExtent l="0" t="0" r="0" b="0"/>
          <wp:wrapNone/>
          <wp:docPr id="1858261174" name="Imagen 1858261174" descr="Texto, Logotipo&#10;&#10;Descripción generada automáticamente con confianza media">
            <a:extLst xmlns:a="http://schemas.openxmlformats.org/drawingml/2006/main">
              <a:ext uri="{FF2B5EF4-FFF2-40B4-BE49-F238E27FC236}">
                <a16:creationId xmlns:a16="http://schemas.microsoft.com/office/drawing/2014/main" id="{F40172B8-8781-4483-AB2A-F593143340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0" descr="Texto, Logotipo&#10;&#10;Descripción generada automáticamente con confianza media">
                    <a:extLst>
                      <a:ext uri="{FF2B5EF4-FFF2-40B4-BE49-F238E27FC236}">
                        <a16:creationId xmlns:a16="http://schemas.microsoft.com/office/drawing/2014/main" id="{F40172B8-8781-4483-AB2A-F593143340E3}"/>
                      </a:ext>
                    </a:extLst>
                  </pic:cNvPr>
                  <pic:cNvPicPr>
                    <a:picLocks noChangeAspect="1"/>
                  </pic:cNvPicPr>
                </pic:nvPicPr>
                <pic:blipFill>
                  <a:blip r:embed="rId2" cstate="print">
                    <a:duotone>
                      <a:schemeClr val="accent4">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855980" cy="485775"/>
                  </a:xfrm>
                  <a:prstGeom prst="rect">
                    <a:avLst/>
                  </a:prstGeom>
                </pic:spPr>
              </pic:pic>
            </a:graphicData>
          </a:graphic>
          <wp14:sizeRelH relativeFrom="margin">
            <wp14:pctWidth>0</wp14:pctWidth>
          </wp14:sizeRelH>
          <wp14:sizeRelV relativeFrom="margin">
            <wp14:pctHeight>0</wp14:pctHeight>
          </wp14:sizeRelV>
        </wp:anchor>
      </w:drawing>
    </w:r>
    <w:r w:rsidR="00E229CE">
      <w:rPr>
        <w:noProof/>
      </w:rPr>
      <mc:AlternateContent>
        <mc:Choice Requires="wps">
          <w:drawing>
            <wp:anchor distT="0" distB="0" distL="114300" distR="114300" simplePos="0" relativeHeight="251658240" behindDoc="0" locked="0" layoutInCell="0" allowOverlap="1" wp14:anchorId="4D5491B4" wp14:editId="1B10A475">
              <wp:simplePos x="0" y="0"/>
              <wp:positionH relativeFrom="page">
                <wp:posOffset>0</wp:posOffset>
              </wp:positionH>
              <wp:positionV relativeFrom="page">
                <wp:posOffset>190500</wp:posOffset>
              </wp:positionV>
              <wp:extent cx="7560310" cy="266700"/>
              <wp:effectExtent l="0" t="0" r="0" b="0"/>
              <wp:wrapNone/>
              <wp:docPr id="2" name="Caixa de texto 2" descr="{&quot;HashCode&quot;:410063916,&quot;Height&quot;:841.0,&quot;Width&quot;:595.0,&quot;Placement&quot;:&quot;Head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310" cy="2667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2120BE8" w14:textId="632533FC" w:rsidR="00E229CE" w:rsidRPr="00E229CE" w:rsidRDefault="00E229CE" w:rsidP="00E229CE">
                          <w:pPr>
                            <w:spacing w:before="0" w:after="0"/>
                            <w:jc w:val="right"/>
                            <w:rPr>
                              <w:color w:val="7F7F7F"/>
                            </w:rPr>
                          </w:pPr>
                          <w:r w:rsidRPr="00E229CE">
                            <w:rPr>
                              <w:color w:val="7F7F7F"/>
                            </w:rPr>
                            <w:t>Confidencial</w:t>
                          </w:r>
                        </w:p>
                      </w:txbxContent>
                    </wps:txbx>
                    <wps:bodyPr rot="0" spcFirstLastPara="0" vertOverflow="overflow" horzOverflow="overflow" vert="horz" wrap="square" lIns="91440" tIns="0" rIns="254000" bIns="0" numCol="1" spcCol="0" rtlCol="0" fromWordArt="0" anchor="t" anchorCtr="0" forceAA="0" compatLnSpc="1">
                      <a:prstTxWarp prst="textNoShape">
                        <a:avLst/>
                      </a:prstTxWarp>
                      <a:noAutofit/>
                    </wps:bodyPr>
                  </wps:wsp>
                </a:graphicData>
              </a:graphic>
            </wp:anchor>
          </w:drawing>
        </mc:Choice>
        <mc:Fallback>
          <w:pict>
            <v:shapetype w14:anchorId="4D5491B4" id="_x0000_t202" coordsize="21600,21600" o:spt="202" path="m,l,21600r21600,l21600,xe">
              <v:stroke joinstyle="miter"/>
              <v:path gradientshapeok="t" o:connecttype="rect"/>
            </v:shapetype>
            <v:shape id="Caixa de texto 2" o:spid="_x0000_s1034" type="#_x0000_t202" alt="{&quot;HashCode&quot;:410063916,&quot;Height&quot;:841.0,&quot;Width&quot;:595.0,&quot;Placement&quot;:&quot;Header&quot;,&quot;Index&quot;:&quot;Primary&quot;,&quot;Section&quot;:1,&quot;Top&quot;:0.0,&quot;Left&quot;:0.0}" style="position:absolute;left:0;text-align:left;margin-left:0;margin-top:15pt;width:595.3pt;height:21pt;z-index:2516582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" o:allowincell="f" filled="f" stroked="f" strokeweight=".5pt">
              <v:textbox inset=",0,20pt,0">
                <w:txbxContent>
                  <w:p w14:paraId="22120BE8" w14:textId="632533FC" w:rsidR="00E229CE" w:rsidRPr="00E229CE" w:rsidRDefault="00E229CE" w:rsidP="00E229CE">
                    <w:pPr>
                      <w:spacing w:before="0" w:after="0"/>
                      <w:jc w:val="right"/>
                      <w:rPr>
                        <w:color w:val="7F7F7F"/>
                      </w:rPr>
                    </w:pPr>
                    <w:r w:rsidRPr="00E229CE">
                      <w:rPr>
                        <w:color w:val="7F7F7F"/>
                      </w:rPr>
                      <w:t>Confidencial</w:t>
                    </w:r>
                  </w:p>
                </w:txbxContent>
              </v:textbox>
              <w10:wrap anchorx="page" anchory="page"/>
            </v:shape>
          </w:pict>
        </mc:Fallback>
      </mc:AlternateContent>
    </w:r>
  </w:p>
  <w:p w14:paraId="45AB6A68" w14:textId="77777777" w:rsidR="00CC4C2C" w:rsidRDefault="00CC4C2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7"/>
    <w:multiLevelType w:val="singleLevel"/>
    <w:tmpl w:val="00000007"/>
    <w:name w:val="WW8Num12"/>
    <w:lvl w:ilvl="0">
      <w:start w:val="1"/>
      <w:numFmt w:val="bullet"/>
      <w:lvlText w:val=""/>
      <w:lvlJc w:val="left"/>
      <w:pPr>
        <w:tabs>
          <w:tab w:val="num" w:pos="720"/>
        </w:tabs>
        <w:ind w:left="720" w:hanging="360"/>
      </w:pPr>
      <w:rPr>
        <w:rFonts w:ascii="Symbol" w:hAnsi="Symbol"/>
      </w:rPr>
    </w:lvl>
  </w:abstractNum>
  <w:abstractNum w:abstractNumId="1" w15:restartNumberingAfterBreak="0">
    <w:nsid w:val="0000000A"/>
    <w:multiLevelType w:val="singleLevel"/>
    <w:tmpl w:val="0000000A"/>
    <w:name w:val="WW8Num21"/>
    <w:lvl w:ilvl="0">
      <w:start w:val="1"/>
      <w:numFmt w:val="bullet"/>
      <w:lvlText w:val=""/>
      <w:lvlJc w:val="left"/>
      <w:pPr>
        <w:tabs>
          <w:tab w:val="num" w:pos="720"/>
        </w:tabs>
        <w:ind w:left="720" w:hanging="360"/>
      </w:pPr>
      <w:rPr>
        <w:rFonts w:ascii="Symbol" w:hAnsi="Symbol"/>
      </w:rPr>
    </w:lvl>
  </w:abstractNum>
  <w:abstractNum w:abstractNumId="2" w15:restartNumberingAfterBreak="0">
    <w:nsid w:val="00BB949E"/>
    <w:multiLevelType w:val="hybridMultilevel"/>
    <w:tmpl w:val="FFFFFFFF"/>
    <w:lvl w:ilvl="0" w:tplc="46EE7BEE">
      <w:start w:val="1"/>
      <w:numFmt w:val="bullet"/>
      <w:lvlText w:val=""/>
      <w:lvlJc w:val="left"/>
      <w:pPr>
        <w:ind w:left="720" w:hanging="360"/>
      </w:pPr>
      <w:rPr>
        <w:rFonts w:ascii="Wingdings" w:hAnsi="Wingdings" w:hint="default"/>
      </w:rPr>
    </w:lvl>
    <w:lvl w:ilvl="1" w:tplc="F858FCB6">
      <w:start w:val="1"/>
      <w:numFmt w:val="bullet"/>
      <w:lvlText w:val="o"/>
      <w:lvlJc w:val="left"/>
      <w:pPr>
        <w:ind w:left="1440" w:hanging="360"/>
      </w:pPr>
      <w:rPr>
        <w:rFonts w:ascii="Courier New" w:hAnsi="Courier New" w:hint="default"/>
      </w:rPr>
    </w:lvl>
    <w:lvl w:ilvl="2" w:tplc="822C7A0E">
      <w:start w:val="1"/>
      <w:numFmt w:val="bullet"/>
      <w:lvlText w:val=""/>
      <w:lvlJc w:val="left"/>
      <w:pPr>
        <w:ind w:left="2160" w:hanging="360"/>
      </w:pPr>
      <w:rPr>
        <w:rFonts w:ascii="Wingdings" w:hAnsi="Wingdings" w:hint="default"/>
      </w:rPr>
    </w:lvl>
    <w:lvl w:ilvl="3" w:tplc="DBACFCEC">
      <w:start w:val="1"/>
      <w:numFmt w:val="bullet"/>
      <w:lvlText w:val=""/>
      <w:lvlJc w:val="left"/>
      <w:pPr>
        <w:ind w:left="2880" w:hanging="360"/>
      </w:pPr>
      <w:rPr>
        <w:rFonts w:ascii="Symbol" w:hAnsi="Symbol" w:hint="default"/>
      </w:rPr>
    </w:lvl>
    <w:lvl w:ilvl="4" w:tplc="B09E2748">
      <w:start w:val="1"/>
      <w:numFmt w:val="bullet"/>
      <w:lvlText w:val="o"/>
      <w:lvlJc w:val="left"/>
      <w:pPr>
        <w:ind w:left="3600" w:hanging="360"/>
      </w:pPr>
      <w:rPr>
        <w:rFonts w:ascii="Courier New" w:hAnsi="Courier New" w:hint="default"/>
      </w:rPr>
    </w:lvl>
    <w:lvl w:ilvl="5" w:tplc="6B2C14C0">
      <w:start w:val="1"/>
      <w:numFmt w:val="bullet"/>
      <w:lvlText w:val=""/>
      <w:lvlJc w:val="left"/>
      <w:pPr>
        <w:ind w:left="4320" w:hanging="360"/>
      </w:pPr>
      <w:rPr>
        <w:rFonts w:ascii="Wingdings" w:hAnsi="Wingdings" w:hint="default"/>
      </w:rPr>
    </w:lvl>
    <w:lvl w:ilvl="6" w:tplc="55F611E6">
      <w:start w:val="1"/>
      <w:numFmt w:val="bullet"/>
      <w:lvlText w:val=""/>
      <w:lvlJc w:val="left"/>
      <w:pPr>
        <w:ind w:left="5040" w:hanging="360"/>
      </w:pPr>
      <w:rPr>
        <w:rFonts w:ascii="Symbol" w:hAnsi="Symbol" w:hint="default"/>
      </w:rPr>
    </w:lvl>
    <w:lvl w:ilvl="7" w:tplc="01B6E57C">
      <w:start w:val="1"/>
      <w:numFmt w:val="bullet"/>
      <w:lvlText w:val="o"/>
      <w:lvlJc w:val="left"/>
      <w:pPr>
        <w:ind w:left="5760" w:hanging="360"/>
      </w:pPr>
      <w:rPr>
        <w:rFonts w:ascii="Courier New" w:hAnsi="Courier New" w:hint="default"/>
      </w:rPr>
    </w:lvl>
    <w:lvl w:ilvl="8" w:tplc="45E4C97A">
      <w:start w:val="1"/>
      <w:numFmt w:val="bullet"/>
      <w:lvlText w:val=""/>
      <w:lvlJc w:val="left"/>
      <w:pPr>
        <w:ind w:left="6480" w:hanging="360"/>
      </w:pPr>
      <w:rPr>
        <w:rFonts w:ascii="Wingdings" w:hAnsi="Wingdings" w:hint="default"/>
      </w:rPr>
    </w:lvl>
  </w:abstractNum>
  <w:abstractNum w:abstractNumId="3" w15:restartNumberingAfterBreak="0">
    <w:nsid w:val="02ACFB5C"/>
    <w:multiLevelType w:val="hybridMultilevel"/>
    <w:tmpl w:val="FFFFFFFF"/>
    <w:lvl w:ilvl="0" w:tplc="EAAA0202">
      <w:start w:val="1"/>
      <w:numFmt w:val="bullet"/>
      <w:lvlText w:val=""/>
      <w:lvlJc w:val="left"/>
      <w:pPr>
        <w:ind w:left="720" w:hanging="360"/>
      </w:pPr>
      <w:rPr>
        <w:rFonts w:ascii="Symbol" w:hAnsi="Symbol" w:hint="default"/>
      </w:rPr>
    </w:lvl>
    <w:lvl w:ilvl="1" w:tplc="48066AAE">
      <w:start w:val="1"/>
      <w:numFmt w:val="bullet"/>
      <w:lvlText w:val="o"/>
      <w:lvlJc w:val="left"/>
      <w:pPr>
        <w:ind w:left="1440" w:hanging="360"/>
      </w:pPr>
      <w:rPr>
        <w:rFonts w:ascii="Courier New" w:hAnsi="Courier New" w:hint="default"/>
      </w:rPr>
    </w:lvl>
    <w:lvl w:ilvl="2" w:tplc="368AB08A">
      <w:start w:val="1"/>
      <w:numFmt w:val="bullet"/>
      <w:lvlText w:val=""/>
      <w:lvlJc w:val="left"/>
      <w:pPr>
        <w:ind w:left="2160" w:hanging="360"/>
      </w:pPr>
      <w:rPr>
        <w:rFonts w:ascii="Wingdings" w:hAnsi="Wingdings" w:hint="default"/>
      </w:rPr>
    </w:lvl>
    <w:lvl w:ilvl="3" w:tplc="3BA47234">
      <w:start w:val="1"/>
      <w:numFmt w:val="bullet"/>
      <w:lvlText w:val=""/>
      <w:lvlJc w:val="left"/>
      <w:pPr>
        <w:ind w:left="2880" w:hanging="360"/>
      </w:pPr>
      <w:rPr>
        <w:rFonts w:ascii="Symbol" w:hAnsi="Symbol" w:hint="default"/>
      </w:rPr>
    </w:lvl>
    <w:lvl w:ilvl="4" w:tplc="D320ED22">
      <w:start w:val="1"/>
      <w:numFmt w:val="bullet"/>
      <w:lvlText w:val="o"/>
      <w:lvlJc w:val="left"/>
      <w:pPr>
        <w:ind w:left="3600" w:hanging="360"/>
      </w:pPr>
      <w:rPr>
        <w:rFonts w:ascii="Courier New" w:hAnsi="Courier New" w:hint="default"/>
      </w:rPr>
    </w:lvl>
    <w:lvl w:ilvl="5" w:tplc="DD021AB8">
      <w:start w:val="1"/>
      <w:numFmt w:val="bullet"/>
      <w:lvlText w:val=""/>
      <w:lvlJc w:val="left"/>
      <w:pPr>
        <w:ind w:left="4320" w:hanging="360"/>
      </w:pPr>
      <w:rPr>
        <w:rFonts w:ascii="Wingdings" w:hAnsi="Wingdings" w:hint="default"/>
      </w:rPr>
    </w:lvl>
    <w:lvl w:ilvl="6" w:tplc="7750A05E">
      <w:start w:val="1"/>
      <w:numFmt w:val="bullet"/>
      <w:lvlText w:val=""/>
      <w:lvlJc w:val="left"/>
      <w:pPr>
        <w:ind w:left="5040" w:hanging="360"/>
      </w:pPr>
      <w:rPr>
        <w:rFonts w:ascii="Symbol" w:hAnsi="Symbol" w:hint="default"/>
      </w:rPr>
    </w:lvl>
    <w:lvl w:ilvl="7" w:tplc="A34E573C">
      <w:start w:val="1"/>
      <w:numFmt w:val="bullet"/>
      <w:lvlText w:val="o"/>
      <w:lvlJc w:val="left"/>
      <w:pPr>
        <w:ind w:left="5760" w:hanging="360"/>
      </w:pPr>
      <w:rPr>
        <w:rFonts w:ascii="Courier New" w:hAnsi="Courier New" w:hint="default"/>
      </w:rPr>
    </w:lvl>
    <w:lvl w:ilvl="8" w:tplc="19983090">
      <w:start w:val="1"/>
      <w:numFmt w:val="bullet"/>
      <w:lvlText w:val=""/>
      <w:lvlJc w:val="left"/>
      <w:pPr>
        <w:ind w:left="6480" w:hanging="360"/>
      </w:pPr>
      <w:rPr>
        <w:rFonts w:ascii="Wingdings" w:hAnsi="Wingdings" w:hint="default"/>
      </w:rPr>
    </w:lvl>
  </w:abstractNum>
  <w:abstractNum w:abstractNumId="4" w15:restartNumberingAfterBreak="0">
    <w:nsid w:val="0626E3CB"/>
    <w:multiLevelType w:val="hybridMultilevel"/>
    <w:tmpl w:val="FFFFFFFF"/>
    <w:lvl w:ilvl="0" w:tplc="C10EBE98">
      <w:start w:val="1"/>
      <w:numFmt w:val="decimal"/>
      <w:lvlText w:val="%1."/>
      <w:lvlJc w:val="left"/>
      <w:pPr>
        <w:ind w:left="926" w:hanging="360"/>
      </w:pPr>
      <w:rPr>
        <w:rFonts w:ascii="Verdana,Calibri" w:hAnsi="Verdana,Calibri" w:hint="default"/>
      </w:rPr>
    </w:lvl>
    <w:lvl w:ilvl="1" w:tplc="5FAA5836">
      <w:start w:val="1"/>
      <w:numFmt w:val="lowerLetter"/>
      <w:lvlText w:val="%2."/>
      <w:lvlJc w:val="left"/>
      <w:pPr>
        <w:ind w:left="1440" w:hanging="360"/>
      </w:pPr>
    </w:lvl>
    <w:lvl w:ilvl="2" w:tplc="89748BB0">
      <w:start w:val="1"/>
      <w:numFmt w:val="lowerRoman"/>
      <w:lvlText w:val="%3."/>
      <w:lvlJc w:val="right"/>
      <w:pPr>
        <w:ind w:left="2160" w:hanging="180"/>
      </w:pPr>
    </w:lvl>
    <w:lvl w:ilvl="3" w:tplc="79D08124">
      <w:start w:val="1"/>
      <w:numFmt w:val="decimal"/>
      <w:lvlText w:val="%4."/>
      <w:lvlJc w:val="left"/>
      <w:pPr>
        <w:ind w:left="2880" w:hanging="360"/>
      </w:pPr>
    </w:lvl>
    <w:lvl w:ilvl="4" w:tplc="BEA8A5CE">
      <w:start w:val="1"/>
      <w:numFmt w:val="lowerLetter"/>
      <w:lvlText w:val="%5."/>
      <w:lvlJc w:val="left"/>
      <w:pPr>
        <w:ind w:left="3600" w:hanging="360"/>
      </w:pPr>
    </w:lvl>
    <w:lvl w:ilvl="5" w:tplc="3946BF16">
      <w:start w:val="1"/>
      <w:numFmt w:val="lowerRoman"/>
      <w:lvlText w:val="%6."/>
      <w:lvlJc w:val="right"/>
      <w:pPr>
        <w:ind w:left="4320" w:hanging="180"/>
      </w:pPr>
    </w:lvl>
    <w:lvl w:ilvl="6" w:tplc="5A1EC162">
      <w:start w:val="1"/>
      <w:numFmt w:val="decimal"/>
      <w:lvlText w:val="%7."/>
      <w:lvlJc w:val="left"/>
      <w:pPr>
        <w:ind w:left="5040" w:hanging="360"/>
      </w:pPr>
    </w:lvl>
    <w:lvl w:ilvl="7" w:tplc="51024142">
      <w:start w:val="1"/>
      <w:numFmt w:val="lowerLetter"/>
      <w:lvlText w:val="%8."/>
      <w:lvlJc w:val="left"/>
      <w:pPr>
        <w:ind w:left="5760" w:hanging="360"/>
      </w:pPr>
    </w:lvl>
    <w:lvl w:ilvl="8" w:tplc="042C81B6">
      <w:start w:val="1"/>
      <w:numFmt w:val="lowerRoman"/>
      <w:lvlText w:val="%9."/>
      <w:lvlJc w:val="right"/>
      <w:pPr>
        <w:ind w:left="6480" w:hanging="180"/>
      </w:pPr>
    </w:lvl>
  </w:abstractNum>
  <w:abstractNum w:abstractNumId="5" w15:restartNumberingAfterBreak="0">
    <w:nsid w:val="09F27E95"/>
    <w:multiLevelType w:val="hybridMultilevel"/>
    <w:tmpl w:val="FFFFFFFF"/>
    <w:lvl w:ilvl="0" w:tplc="BA12C42E">
      <w:start w:val="1"/>
      <w:numFmt w:val="bullet"/>
      <w:lvlText w:val=""/>
      <w:lvlJc w:val="left"/>
      <w:pPr>
        <w:ind w:left="720" w:hanging="360"/>
      </w:pPr>
      <w:rPr>
        <w:rFonts w:ascii="Symbol" w:hAnsi="Symbol" w:hint="default"/>
      </w:rPr>
    </w:lvl>
    <w:lvl w:ilvl="1" w:tplc="992CBB02">
      <w:start w:val="1"/>
      <w:numFmt w:val="bullet"/>
      <w:lvlText w:val="o"/>
      <w:lvlJc w:val="left"/>
      <w:pPr>
        <w:ind w:left="1440" w:hanging="360"/>
      </w:pPr>
      <w:rPr>
        <w:rFonts w:ascii="Courier New" w:hAnsi="Courier New" w:hint="default"/>
      </w:rPr>
    </w:lvl>
    <w:lvl w:ilvl="2" w:tplc="D0B0695E">
      <w:start w:val="1"/>
      <w:numFmt w:val="bullet"/>
      <w:lvlText w:val=""/>
      <w:lvlJc w:val="left"/>
      <w:pPr>
        <w:ind w:left="2160" w:hanging="360"/>
      </w:pPr>
      <w:rPr>
        <w:rFonts w:ascii="Wingdings" w:hAnsi="Wingdings" w:hint="default"/>
      </w:rPr>
    </w:lvl>
    <w:lvl w:ilvl="3" w:tplc="92DC6FF4">
      <w:start w:val="1"/>
      <w:numFmt w:val="bullet"/>
      <w:lvlText w:val=""/>
      <w:lvlJc w:val="left"/>
      <w:pPr>
        <w:ind w:left="2880" w:hanging="360"/>
      </w:pPr>
      <w:rPr>
        <w:rFonts w:ascii="Symbol" w:hAnsi="Symbol" w:hint="default"/>
      </w:rPr>
    </w:lvl>
    <w:lvl w:ilvl="4" w:tplc="79763E66">
      <w:start w:val="1"/>
      <w:numFmt w:val="bullet"/>
      <w:lvlText w:val="o"/>
      <w:lvlJc w:val="left"/>
      <w:pPr>
        <w:ind w:left="3600" w:hanging="360"/>
      </w:pPr>
      <w:rPr>
        <w:rFonts w:ascii="Courier New" w:hAnsi="Courier New" w:hint="default"/>
      </w:rPr>
    </w:lvl>
    <w:lvl w:ilvl="5" w:tplc="1EC830E2">
      <w:start w:val="1"/>
      <w:numFmt w:val="bullet"/>
      <w:lvlText w:val=""/>
      <w:lvlJc w:val="left"/>
      <w:pPr>
        <w:ind w:left="4320" w:hanging="360"/>
      </w:pPr>
      <w:rPr>
        <w:rFonts w:ascii="Wingdings" w:hAnsi="Wingdings" w:hint="default"/>
      </w:rPr>
    </w:lvl>
    <w:lvl w:ilvl="6" w:tplc="9E524158">
      <w:start w:val="1"/>
      <w:numFmt w:val="bullet"/>
      <w:lvlText w:val=""/>
      <w:lvlJc w:val="left"/>
      <w:pPr>
        <w:ind w:left="5040" w:hanging="360"/>
      </w:pPr>
      <w:rPr>
        <w:rFonts w:ascii="Symbol" w:hAnsi="Symbol" w:hint="default"/>
      </w:rPr>
    </w:lvl>
    <w:lvl w:ilvl="7" w:tplc="4A46E300">
      <w:start w:val="1"/>
      <w:numFmt w:val="bullet"/>
      <w:lvlText w:val="o"/>
      <w:lvlJc w:val="left"/>
      <w:pPr>
        <w:ind w:left="5760" w:hanging="360"/>
      </w:pPr>
      <w:rPr>
        <w:rFonts w:ascii="Courier New" w:hAnsi="Courier New" w:hint="default"/>
      </w:rPr>
    </w:lvl>
    <w:lvl w:ilvl="8" w:tplc="0ED2F9B4">
      <w:start w:val="1"/>
      <w:numFmt w:val="bullet"/>
      <w:lvlText w:val=""/>
      <w:lvlJc w:val="left"/>
      <w:pPr>
        <w:ind w:left="6480" w:hanging="360"/>
      </w:pPr>
      <w:rPr>
        <w:rFonts w:ascii="Wingdings" w:hAnsi="Wingdings" w:hint="default"/>
      </w:rPr>
    </w:lvl>
  </w:abstractNum>
  <w:abstractNum w:abstractNumId="6" w15:restartNumberingAfterBreak="0">
    <w:nsid w:val="0B043E76"/>
    <w:multiLevelType w:val="hybridMultilevel"/>
    <w:tmpl w:val="08CA86C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12E2B0BB"/>
    <w:multiLevelType w:val="hybridMultilevel"/>
    <w:tmpl w:val="FFFFFFFF"/>
    <w:lvl w:ilvl="0" w:tplc="8946D2EC">
      <w:start w:val="1"/>
      <w:numFmt w:val="bullet"/>
      <w:lvlText w:val=""/>
      <w:lvlJc w:val="left"/>
      <w:pPr>
        <w:ind w:left="720" w:hanging="360"/>
      </w:pPr>
      <w:rPr>
        <w:rFonts w:ascii="Symbol" w:hAnsi="Symbol" w:hint="default"/>
      </w:rPr>
    </w:lvl>
    <w:lvl w:ilvl="1" w:tplc="50CE4288">
      <w:start w:val="1"/>
      <w:numFmt w:val="bullet"/>
      <w:lvlText w:val="o"/>
      <w:lvlJc w:val="left"/>
      <w:pPr>
        <w:ind w:left="1440" w:hanging="360"/>
      </w:pPr>
      <w:rPr>
        <w:rFonts w:ascii="Courier New" w:hAnsi="Courier New" w:hint="default"/>
      </w:rPr>
    </w:lvl>
    <w:lvl w:ilvl="2" w:tplc="B406FE2C">
      <w:start w:val="1"/>
      <w:numFmt w:val="bullet"/>
      <w:lvlText w:val=""/>
      <w:lvlJc w:val="left"/>
      <w:pPr>
        <w:ind w:left="2160" w:hanging="360"/>
      </w:pPr>
      <w:rPr>
        <w:rFonts w:ascii="Wingdings" w:hAnsi="Wingdings" w:hint="default"/>
      </w:rPr>
    </w:lvl>
    <w:lvl w:ilvl="3" w:tplc="7A629772">
      <w:start w:val="1"/>
      <w:numFmt w:val="bullet"/>
      <w:lvlText w:val=""/>
      <w:lvlJc w:val="left"/>
      <w:pPr>
        <w:ind w:left="2880" w:hanging="360"/>
      </w:pPr>
      <w:rPr>
        <w:rFonts w:ascii="Symbol" w:hAnsi="Symbol" w:hint="default"/>
      </w:rPr>
    </w:lvl>
    <w:lvl w:ilvl="4" w:tplc="754682AA">
      <w:start w:val="1"/>
      <w:numFmt w:val="bullet"/>
      <w:lvlText w:val="o"/>
      <w:lvlJc w:val="left"/>
      <w:pPr>
        <w:ind w:left="3600" w:hanging="360"/>
      </w:pPr>
      <w:rPr>
        <w:rFonts w:ascii="Courier New" w:hAnsi="Courier New" w:hint="default"/>
      </w:rPr>
    </w:lvl>
    <w:lvl w:ilvl="5" w:tplc="3462DD6E">
      <w:start w:val="1"/>
      <w:numFmt w:val="bullet"/>
      <w:lvlText w:val=""/>
      <w:lvlJc w:val="left"/>
      <w:pPr>
        <w:ind w:left="4320" w:hanging="360"/>
      </w:pPr>
      <w:rPr>
        <w:rFonts w:ascii="Wingdings" w:hAnsi="Wingdings" w:hint="default"/>
      </w:rPr>
    </w:lvl>
    <w:lvl w:ilvl="6" w:tplc="70084688">
      <w:start w:val="1"/>
      <w:numFmt w:val="bullet"/>
      <w:lvlText w:val=""/>
      <w:lvlJc w:val="left"/>
      <w:pPr>
        <w:ind w:left="5040" w:hanging="360"/>
      </w:pPr>
      <w:rPr>
        <w:rFonts w:ascii="Symbol" w:hAnsi="Symbol" w:hint="default"/>
      </w:rPr>
    </w:lvl>
    <w:lvl w:ilvl="7" w:tplc="2144B93C">
      <w:start w:val="1"/>
      <w:numFmt w:val="bullet"/>
      <w:lvlText w:val="o"/>
      <w:lvlJc w:val="left"/>
      <w:pPr>
        <w:ind w:left="5760" w:hanging="360"/>
      </w:pPr>
      <w:rPr>
        <w:rFonts w:ascii="Courier New" w:hAnsi="Courier New" w:hint="default"/>
      </w:rPr>
    </w:lvl>
    <w:lvl w:ilvl="8" w:tplc="D0D0792C">
      <w:start w:val="1"/>
      <w:numFmt w:val="bullet"/>
      <w:lvlText w:val=""/>
      <w:lvlJc w:val="left"/>
      <w:pPr>
        <w:ind w:left="6480" w:hanging="360"/>
      </w:pPr>
      <w:rPr>
        <w:rFonts w:ascii="Wingdings" w:hAnsi="Wingdings" w:hint="default"/>
      </w:rPr>
    </w:lvl>
  </w:abstractNum>
  <w:abstractNum w:abstractNumId="8" w15:restartNumberingAfterBreak="0">
    <w:nsid w:val="171D83FD"/>
    <w:multiLevelType w:val="hybridMultilevel"/>
    <w:tmpl w:val="FFFFFFFF"/>
    <w:lvl w:ilvl="0" w:tplc="55561504">
      <w:start w:val="1"/>
      <w:numFmt w:val="bullet"/>
      <w:lvlText w:val=""/>
      <w:lvlJc w:val="left"/>
      <w:pPr>
        <w:ind w:left="720" w:hanging="360"/>
      </w:pPr>
      <w:rPr>
        <w:rFonts w:ascii="Symbol" w:hAnsi="Symbol" w:hint="default"/>
      </w:rPr>
    </w:lvl>
    <w:lvl w:ilvl="1" w:tplc="ABC412E2">
      <w:start w:val="1"/>
      <w:numFmt w:val="bullet"/>
      <w:lvlText w:val=""/>
      <w:lvlJc w:val="left"/>
      <w:pPr>
        <w:ind w:left="1440" w:hanging="360"/>
      </w:pPr>
      <w:rPr>
        <w:rFonts w:ascii="Wingdings" w:hAnsi="Wingdings" w:hint="default"/>
      </w:rPr>
    </w:lvl>
    <w:lvl w:ilvl="2" w:tplc="B49437E2">
      <w:start w:val="1"/>
      <w:numFmt w:val="bullet"/>
      <w:lvlText w:val=""/>
      <w:lvlJc w:val="left"/>
      <w:pPr>
        <w:ind w:left="2160" w:hanging="360"/>
      </w:pPr>
      <w:rPr>
        <w:rFonts w:ascii="Wingdings" w:hAnsi="Wingdings" w:hint="default"/>
      </w:rPr>
    </w:lvl>
    <w:lvl w:ilvl="3" w:tplc="463CF2C0">
      <w:start w:val="1"/>
      <w:numFmt w:val="bullet"/>
      <w:lvlText w:val=""/>
      <w:lvlJc w:val="left"/>
      <w:pPr>
        <w:ind w:left="2880" w:hanging="360"/>
      </w:pPr>
      <w:rPr>
        <w:rFonts w:ascii="Symbol" w:hAnsi="Symbol" w:hint="default"/>
      </w:rPr>
    </w:lvl>
    <w:lvl w:ilvl="4" w:tplc="598A5A98">
      <w:start w:val="1"/>
      <w:numFmt w:val="bullet"/>
      <w:lvlText w:val="o"/>
      <w:lvlJc w:val="left"/>
      <w:pPr>
        <w:ind w:left="3600" w:hanging="360"/>
      </w:pPr>
      <w:rPr>
        <w:rFonts w:ascii="Courier New" w:hAnsi="Courier New" w:hint="default"/>
      </w:rPr>
    </w:lvl>
    <w:lvl w:ilvl="5" w:tplc="E4ECAD6A">
      <w:start w:val="1"/>
      <w:numFmt w:val="bullet"/>
      <w:lvlText w:val=""/>
      <w:lvlJc w:val="left"/>
      <w:pPr>
        <w:ind w:left="4320" w:hanging="360"/>
      </w:pPr>
      <w:rPr>
        <w:rFonts w:ascii="Wingdings" w:hAnsi="Wingdings" w:hint="default"/>
      </w:rPr>
    </w:lvl>
    <w:lvl w:ilvl="6" w:tplc="476EDA84">
      <w:start w:val="1"/>
      <w:numFmt w:val="bullet"/>
      <w:lvlText w:val=""/>
      <w:lvlJc w:val="left"/>
      <w:pPr>
        <w:ind w:left="5040" w:hanging="360"/>
      </w:pPr>
      <w:rPr>
        <w:rFonts w:ascii="Symbol" w:hAnsi="Symbol" w:hint="default"/>
      </w:rPr>
    </w:lvl>
    <w:lvl w:ilvl="7" w:tplc="8C446D92">
      <w:start w:val="1"/>
      <w:numFmt w:val="bullet"/>
      <w:lvlText w:val="o"/>
      <w:lvlJc w:val="left"/>
      <w:pPr>
        <w:ind w:left="5760" w:hanging="360"/>
      </w:pPr>
      <w:rPr>
        <w:rFonts w:ascii="Courier New" w:hAnsi="Courier New" w:hint="default"/>
      </w:rPr>
    </w:lvl>
    <w:lvl w:ilvl="8" w:tplc="0E60CD3E">
      <w:start w:val="1"/>
      <w:numFmt w:val="bullet"/>
      <w:lvlText w:val=""/>
      <w:lvlJc w:val="left"/>
      <w:pPr>
        <w:ind w:left="6480" w:hanging="360"/>
      </w:pPr>
      <w:rPr>
        <w:rFonts w:ascii="Wingdings" w:hAnsi="Wingdings" w:hint="default"/>
      </w:rPr>
    </w:lvl>
  </w:abstractNum>
  <w:abstractNum w:abstractNumId="9" w15:restartNumberingAfterBreak="0">
    <w:nsid w:val="1D5FEADA"/>
    <w:multiLevelType w:val="hybridMultilevel"/>
    <w:tmpl w:val="FFFFFFFF"/>
    <w:lvl w:ilvl="0" w:tplc="B07E5364">
      <w:start w:val="1"/>
      <w:numFmt w:val="bullet"/>
      <w:lvlText w:val=""/>
      <w:lvlJc w:val="left"/>
      <w:pPr>
        <w:ind w:left="720" w:hanging="360"/>
      </w:pPr>
      <w:rPr>
        <w:rFonts w:ascii="Symbol" w:hAnsi="Symbol" w:hint="default"/>
      </w:rPr>
    </w:lvl>
    <w:lvl w:ilvl="1" w:tplc="7CD464C4">
      <w:start w:val="1"/>
      <w:numFmt w:val="bullet"/>
      <w:lvlText w:val=""/>
      <w:lvlJc w:val="left"/>
      <w:pPr>
        <w:ind w:left="1440" w:hanging="360"/>
      </w:pPr>
      <w:rPr>
        <w:rFonts w:ascii="Wingdings" w:hAnsi="Wingdings" w:hint="default"/>
      </w:rPr>
    </w:lvl>
    <w:lvl w:ilvl="2" w:tplc="37A8A880">
      <w:start w:val="1"/>
      <w:numFmt w:val="bullet"/>
      <w:lvlText w:val=""/>
      <w:lvlJc w:val="left"/>
      <w:pPr>
        <w:ind w:left="2160" w:hanging="360"/>
      </w:pPr>
      <w:rPr>
        <w:rFonts w:ascii="Wingdings" w:hAnsi="Wingdings" w:hint="default"/>
      </w:rPr>
    </w:lvl>
    <w:lvl w:ilvl="3" w:tplc="A0FC6AF8">
      <w:start w:val="1"/>
      <w:numFmt w:val="bullet"/>
      <w:lvlText w:val=""/>
      <w:lvlJc w:val="left"/>
      <w:pPr>
        <w:ind w:left="2880" w:hanging="360"/>
      </w:pPr>
      <w:rPr>
        <w:rFonts w:ascii="Symbol" w:hAnsi="Symbol" w:hint="default"/>
      </w:rPr>
    </w:lvl>
    <w:lvl w:ilvl="4" w:tplc="07640B5C">
      <w:start w:val="1"/>
      <w:numFmt w:val="bullet"/>
      <w:lvlText w:val="o"/>
      <w:lvlJc w:val="left"/>
      <w:pPr>
        <w:ind w:left="3600" w:hanging="360"/>
      </w:pPr>
      <w:rPr>
        <w:rFonts w:ascii="Courier New" w:hAnsi="Courier New" w:hint="default"/>
      </w:rPr>
    </w:lvl>
    <w:lvl w:ilvl="5" w:tplc="30161DCA">
      <w:start w:val="1"/>
      <w:numFmt w:val="bullet"/>
      <w:lvlText w:val=""/>
      <w:lvlJc w:val="left"/>
      <w:pPr>
        <w:ind w:left="4320" w:hanging="360"/>
      </w:pPr>
      <w:rPr>
        <w:rFonts w:ascii="Wingdings" w:hAnsi="Wingdings" w:hint="default"/>
      </w:rPr>
    </w:lvl>
    <w:lvl w:ilvl="6" w:tplc="4AB80466">
      <w:start w:val="1"/>
      <w:numFmt w:val="bullet"/>
      <w:lvlText w:val=""/>
      <w:lvlJc w:val="left"/>
      <w:pPr>
        <w:ind w:left="5040" w:hanging="360"/>
      </w:pPr>
      <w:rPr>
        <w:rFonts w:ascii="Symbol" w:hAnsi="Symbol" w:hint="default"/>
      </w:rPr>
    </w:lvl>
    <w:lvl w:ilvl="7" w:tplc="253A68AC">
      <w:start w:val="1"/>
      <w:numFmt w:val="bullet"/>
      <w:lvlText w:val="o"/>
      <w:lvlJc w:val="left"/>
      <w:pPr>
        <w:ind w:left="5760" w:hanging="360"/>
      </w:pPr>
      <w:rPr>
        <w:rFonts w:ascii="Courier New" w:hAnsi="Courier New" w:hint="default"/>
      </w:rPr>
    </w:lvl>
    <w:lvl w:ilvl="8" w:tplc="04DA5B6C">
      <w:start w:val="1"/>
      <w:numFmt w:val="bullet"/>
      <w:lvlText w:val=""/>
      <w:lvlJc w:val="left"/>
      <w:pPr>
        <w:ind w:left="6480" w:hanging="360"/>
      </w:pPr>
      <w:rPr>
        <w:rFonts w:ascii="Wingdings" w:hAnsi="Wingdings" w:hint="default"/>
      </w:rPr>
    </w:lvl>
  </w:abstractNum>
  <w:abstractNum w:abstractNumId="10" w15:restartNumberingAfterBreak="0">
    <w:nsid w:val="1DA50648"/>
    <w:multiLevelType w:val="multilevel"/>
    <w:tmpl w:val="5964CEBA"/>
    <w:lvl w:ilvl="0">
      <w:start w:val="1"/>
      <w:numFmt w:val="decimal"/>
      <w:lvlText w:val="%1."/>
      <w:lvlJc w:val="left"/>
      <w:pPr>
        <w:ind w:left="360" w:hanging="360"/>
      </w:pPr>
    </w:lvl>
    <w:lvl w:ilvl="1">
      <w:start w:val="1"/>
      <w:numFmt w:val="decimal"/>
      <w:lvlText w:val="%1.%2."/>
      <w:lvlJc w:val="left"/>
      <w:pPr>
        <w:ind w:left="3835" w:hanging="432"/>
      </w:pPr>
      <w:rPr>
        <w:b w:val="0"/>
        <w:bCs/>
        <w:color w:val="0033FF" w:themeColor="accent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0A93430"/>
    <w:multiLevelType w:val="hybridMultilevel"/>
    <w:tmpl w:val="973A1902"/>
    <w:lvl w:ilvl="0" w:tplc="0C0A0013">
      <w:start w:val="1"/>
      <w:numFmt w:val="upperRoman"/>
      <w:lvlText w:val="%1."/>
      <w:lvlJc w:val="righ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288064F3"/>
    <w:multiLevelType w:val="hybridMultilevel"/>
    <w:tmpl w:val="1E62107E"/>
    <w:lvl w:ilvl="0" w:tplc="0C0A0013">
      <w:start w:val="1"/>
      <w:numFmt w:val="upperRoman"/>
      <w:lvlText w:val="%1."/>
      <w:lvlJc w:val="righ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2A49D38A"/>
    <w:multiLevelType w:val="hybridMultilevel"/>
    <w:tmpl w:val="FFFFFFFF"/>
    <w:lvl w:ilvl="0" w:tplc="B95C7F16">
      <w:start w:val="1"/>
      <w:numFmt w:val="bullet"/>
      <w:lvlText w:val=""/>
      <w:lvlJc w:val="left"/>
      <w:pPr>
        <w:ind w:left="720" w:hanging="360"/>
      </w:pPr>
      <w:rPr>
        <w:rFonts w:ascii="Symbol" w:hAnsi="Symbol" w:hint="default"/>
      </w:rPr>
    </w:lvl>
    <w:lvl w:ilvl="1" w:tplc="F86CD0E0">
      <w:start w:val="1"/>
      <w:numFmt w:val="bullet"/>
      <w:lvlText w:val="o"/>
      <w:lvlJc w:val="left"/>
      <w:pPr>
        <w:ind w:left="1440" w:hanging="360"/>
      </w:pPr>
      <w:rPr>
        <w:rFonts w:ascii="Courier New" w:hAnsi="Courier New" w:hint="default"/>
      </w:rPr>
    </w:lvl>
    <w:lvl w:ilvl="2" w:tplc="AF1EC0B8">
      <w:start w:val="1"/>
      <w:numFmt w:val="bullet"/>
      <w:lvlText w:val=""/>
      <w:lvlJc w:val="left"/>
      <w:pPr>
        <w:ind w:left="2160" w:hanging="360"/>
      </w:pPr>
      <w:rPr>
        <w:rFonts w:ascii="Wingdings" w:hAnsi="Wingdings" w:hint="default"/>
      </w:rPr>
    </w:lvl>
    <w:lvl w:ilvl="3" w:tplc="E398F084">
      <w:start w:val="1"/>
      <w:numFmt w:val="bullet"/>
      <w:lvlText w:val=""/>
      <w:lvlJc w:val="left"/>
      <w:pPr>
        <w:ind w:left="2880" w:hanging="360"/>
      </w:pPr>
      <w:rPr>
        <w:rFonts w:ascii="Symbol" w:hAnsi="Symbol" w:hint="default"/>
      </w:rPr>
    </w:lvl>
    <w:lvl w:ilvl="4" w:tplc="95428938">
      <w:start w:val="1"/>
      <w:numFmt w:val="bullet"/>
      <w:lvlText w:val="o"/>
      <w:lvlJc w:val="left"/>
      <w:pPr>
        <w:ind w:left="3600" w:hanging="360"/>
      </w:pPr>
      <w:rPr>
        <w:rFonts w:ascii="Courier New" w:hAnsi="Courier New" w:hint="default"/>
      </w:rPr>
    </w:lvl>
    <w:lvl w:ilvl="5" w:tplc="CF3A75B2">
      <w:start w:val="1"/>
      <w:numFmt w:val="bullet"/>
      <w:lvlText w:val=""/>
      <w:lvlJc w:val="left"/>
      <w:pPr>
        <w:ind w:left="4320" w:hanging="360"/>
      </w:pPr>
      <w:rPr>
        <w:rFonts w:ascii="Wingdings" w:hAnsi="Wingdings" w:hint="default"/>
      </w:rPr>
    </w:lvl>
    <w:lvl w:ilvl="6" w:tplc="BB10CD2E">
      <w:start w:val="1"/>
      <w:numFmt w:val="bullet"/>
      <w:lvlText w:val=""/>
      <w:lvlJc w:val="left"/>
      <w:pPr>
        <w:ind w:left="5040" w:hanging="360"/>
      </w:pPr>
      <w:rPr>
        <w:rFonts w:ascii="Symbol" w:hAnsi="Symbol" w:hint="default"/>
      </w:rPr>
    </w:lvl>
    <w:lvl w:ilvl="7" w:tplc="182E0BCE">
      <w:start w:val="1"/>
      <w:numFmt w:val="bullet"/>
      <w:lvlText w:val="o"/>
      <w:lvlJc w:val="left"/>
      <w:pPr>
        <w:ind w:left="5760" w:hanging="360"/>
      </w:pPr>
      <w:rPr>
        <w:rFonts w:ascii="Courier New" w:hAnsi="Courier New" w:hint="default"/>
      </w:rPr>
    </w:lvl>
    <w:lvl w:ilvl="8" w:tplc="33F0DB30">
      <w:start w:val="1"/>
      <w:numFmt w:val="bullet"/>
      <w:lvlText w:val=""/>
      <w:lvlJc w:val="left"/>
      <w:pPr>
        <w:ind w:left="6480" w:hanging="360"/>
      </w:pPr>
      <w:rPr>
        <w:rFonts w:ascii="Wingdings" w:hAnsi="Wingdings" w:hint="default"/>
      </w:rPr>
    </w:lvl>
  </w:abstractNum>
  <w:abstractNum w:abstractNumId="14" w15:restartNumberingAfterBreak="0">
    <w:nsid w:val="2BA0623E"/>
    <w:multiLevelType w:val="hybridMultilevel"/>
    <w:tmpl w:val="DEC60792"/>
    <w:lvl w:ilvl="0" w:tplc="1572030A">
      <w:start w:val="1"/>
      <w:numFmt w:val="upp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2FF8DD95"/>
    <w:multiLevelType w:val="hybridMultilevel"/>
    <w:tmpl w:val="FFFFFFFF"/>
    <w:lvl w:ilvl="0" w:tplc="7FFA09E4">
      <w:start w:val="1"/>
      <w:numFmt w:val="bullet"/>
      <w:lvlText w:val=""/>
      <w:lvlJc w:val="left"/>
      <w:pPr>
        <w:ind w:left="720" w:hanging="360"/>
      </w:pPr>
      <w:rPr>
        <w:rFonts w:ascii="Wingdings" w:hAnsi="Wingdings" w:hint="default"/>
      </w:rPr>
    </w:lvl>
    <w:lvl w:ilvl="1" w:tplc="ED44F2B4">
      <w:start w:val="1"/>
      <w:numFmt w:val="bullet"/>
      <w:lvlText w:val="o"/>
      <w:lvlJc w:val="left"/>
      <w:pPr>
        <w:ind w:left="1440" w:hanging="360"/>
      </w:pPr>
      <w:rPr>
        <w:rFonts w:ascii="Courier New" w:hAnsi="Courier New" w:hint="default"/>
      </w:rPr>
    </w:lvl>
    <w:lvl w:ilvl="2" w:tplc="89DE8C42">
      <w:start w:val="1"/>
      <w:numFmt w:val="bullet"/>
      <w:lvlText w:val=""/>
      <w:lvlJc w:val="left"/>
      <w:pPr>
        <w:ind w:left="2160" w:hanging="360"/>
      </w:pPr>
      <w:rPr>
        <w:rFonts w:ascii="Wingdings" w:hAnsi="Wingdings" w:hint="default"/>
      </w:rPr>
    </w:lvl>
    <w:lvl w:ilvl="3" w:tplc="5040FCF8">
      <w:start w:val="1"/>
      <w:numFmt w:val="bullet"/>
      <w:lvlText w:val=""/>
      <w:lvlJc w:val="left"/>
      <w:pPr>
        <w:ind w:left="2880" w:hanging="360"/>
      </w:pPr>
      <w:rPr>
        <w:rFonts w:ascii="Symbol" w:hAnsi="Symbol" w:hint="default"/>
      </w:rPr>
    </w:lvl>
    <w:lvl w:ilvl="4" w:tplc="6610F806">
      <w:start w:val="1"/>
      <w:numFmt w:val="bullet"/>
      <w:lvlText w:val="o"/>
      <w:lvlJc w:val="left"/>
      <w:pPr>
        <w:ind w:left="3600" w:hanging="360"/>
      </w:pPr>
      <w:rPr>
        <w:rFonts w:ascii="Courier New" w:hAnsi="Courier New" w:hint="default"/>
      </w:rPr>
    </w:lvl>
    <w:lvl w:ilvl="5" w:tplc="C85063D6">
      <w:start w:val="1"/>
      <w:numFmt w:val="bullet"/>
      <w:lvlText w:val=""/>
      <w:lvlJc w:val="left"/>
      <w:pPr>
        <w:ind w:left="4320" w:hanging="360"/>
      </w:pPr>
      <w:rPr>
        <w:rFonts w:ascii="Wingdings" w:hAnsi="Wingdings" w:hint="default"/>
      </w:rPr>
    </w:lvl>
    <w:lvl w:ilvl="6" w:tplc="8BEA04CA">
      <w:start w:val="1"/>
      <w:numFmt w:val="bullet"/>
      <w:lvlText w:val=""/>
      <w:lvlJc w:val="left"/>
      <w:pPr>
        <w:ind w:left="5040" w:hanging="360"/>
      </w:pPr>
      <w:rPr>
        <w:rFonts w:ascii="Symbol" w:hAnsi="Symbol" w:hint="default"/>
      </w:rPr>
    </w:lvl>
    <w:lvl w:ilvl="7" w:tplc="0CF2FF68">
      <w:start w:val="1"/>
      <w:numFmt w:val="bullet"/>
      <w:lvlText w:val="o"/>
      <w:lvlJc w:val="left"/>
      <w:pPr>
        <w:ind w:left="5760" w:hanging="360"/>
      </w:pPr>
      <w:rPr>
        <w:rFonts w:ascii="Courier New" w:hAnsi="Courier New" w:hint="default"/>
      </w:rPr>
    </w:lvl>
    <w:lvl w:ilvl="8" w:tplc="FB24281A">
      <w:start w:val="1"/>
      <w:numFmt w:val="bullet"/>
      <w:lvlText w:val=""/>
      <w:lvlJc w:val="left"/>
      <w:pPr>
        <w:ind w:left="6480" w:hanging="360"/>
      </w:pPr>
      <w:rPr>
        <w:rFonts w:ascii="Wingdings" w:hAnsi="Wingdings" w:hint="default"/>
      </w:rPr>
    </w:lvl>
  </w:abstractNum>
  <w:abstractNum w:abstractNumId="16" w15:restartNumberingAfterBreak="0">
    <w:nsid w:val="31694D75"/>
    <w:multiLevelType w:val="hybridMultilevel"/>
    <w:tmpl w:val="B26081F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344345B0"/>
    <w:multiLevelType w:val="hybridMultilevel"/>
    <w:tmpl w:val="FFFFFFFF"/>
    <w:lvl w:ilvl="0" w:tplc="F6522A5C">
      <w:start w:val="1"/>
      <w:numFmt w:val="bullet"/>
      <w:lvlText w:val=""/>
      <w:lvlJc w:val="left"/>
      <w:pPr>
        <w:ind w:left="720" w:hanging="360"/>
      </w:pPr>
      <w:rPr>
        <w:rFonts w:ascii="Symbol" w:hAnsi="Symbol" w:hint="default"/>
      </w:rPr>
    </w:lvl>
    <w:lvl w:ilvl="1" w:tplc="8D906BC6">
      <w:start w:val="1"/>
      <w:numFmt w:val="bullet"/>
      <w:lvlText w:val="o"/>
      <w:lvlJc w:val="left"/>
      <w:pPr>
        <w:ind w:left="1440" w:hanging="360"/>
      </w:pPr>
      <w:rPr>
        <w:rFonts w:ascii="Courier New" w:hAnsi="Courier New" w:hint="default"/>
      </w:rPr>
    </w:lvl>
    <w:lvl w:ilvl="2" w:tplc="1978659C">
      <w:start w:val="1"/>
      <w:numFmt w:val="bullet"/>
      <w:lvlText w:val=""/>
      <w:lvlJc w:val="left"/>
      <w:pPr>
        <w:ind w:left="2160" w:hanging="360"/>
      </w:pPr>
      <w:rPr>
        <w:rFonts w:ascii="Wingdings" w:hAnsi="Wingdings" w:hint="default"/>
      </w:rPr>
    </w:lvl>
    <w:lvl w:ilvl="3" w:tplc="667E4ECA">
      <w:start w:val="1"/>
      <w:numFmt w:val="bullet"/>
      <w:lvlText w:val=""/>
      <w:lvlJc w:val="left"/>
      <w:pPr>
        <w:ind w:left="2880" w:hanging="360"/>
      </w:pPr>
      <w:rPr>
        <w:rFonts w:ascii="Symbol" w:hAnsi="Symbol" w:hint="default"/>
      </w:rPr>
    </w:lvl>
    <w:lvl w:ilvl="4" w:tplc="FDE27FBC">
      <w:start w:val="1"/>
      <w:numFmt w:val="bullet"/>
      <w:lvlText w:val="o"/>
      <w:lvlJc w:val="left"/>
      <w:pPr>
        <w:ind w:left="3600" w:hanging="360"/>
      </w:pPr>
      <w:rPr>
        <w:rFonts w:ascii="Courier New" w:hAnsi="Courier New" w:hint="default"/>
      </w:rPr>
    </w:lvl>
    <w:lvl w:ilvl="5" w:tplc="D966D426">
      <w:start w:val="1"/>
      <w:numFmt w:val="bullet"/>
      <w:lvlText w:val=""/>
      <w:lvlJc w:val="left"/>
      <w:pPr>
        <w:ind w:left="4320" w:hanging="360"/>
      </w:pPr>
      <w:rPr>
        <w:rFonts w:ascii="Wingdings" w:hAnsi="Wingdings" w:hint="default"/>
      </w:rPr>
    </w:lvl>
    <w:lvl w:ilvl="6" w:tplc="2BBAF3B0">
      <w:start w:val="1"/>
      <w:numFmt w:val="bullet"/>
      <w:lvlText w:val=""/>
      <w:lvlJc w:val="left"/>
      <w:pPr>
        <w:ind w:left="5040" w:hanging="360"/>
      </w:pPr>
      <w:rPr>
        <w:rFonts w:ascii="Symbol" w:hAnsi="Symbol" w:hint="default"/>
      </w:rPr>
    </w:lvl>
    <w:lvl w:ilvl="7" w:tplc="2CC87C84">
      <w:start w:val="1"/>
      <w:numFmt w:val="bullet"/>
      <w:lvlText w:val="o"/>
      <w:lvlJc w:val="left"/>
      <w:pPr>
        <w:ind w:left="5760" w:hanging="360"/>
      </w:pPr>
      <w:rPr>
        <w:rFonts w:ascii="Courier New" w:hAnsi="Courier New" w:hint="default"/>
      </w:rPr>
    </w:lvl>
    <w:lvl w:ilvl="8" w:tplc="46A45AE2">
      <w:start w:val="1"/>
      <w:numFmt w:val="bullet"/>
      <w:lvlText w:val=""/>
      <w:lvlJc w:val="left"/>
      <w:pPr>
        <w:ind w:left="6480" w:hanging="360"/>
      </w:pPr>
      <w:rPr>
        <w:rFonts w:ascii="Wingdings" w:hAnsi="Wingdings" w:hint="default"/>
      </w:rPr>
    </w:lvl>
  </w:abstractNum>
  <w:abstractNum w:abstractNumId="18" w15:restartNumberingAfterBreak="0">
    <w:nsid w:val="3AA7E4ED"/>
    <w:multiLevelType w:val="hybridMultilevel"/>
    <w:tmpl w:val="FFFFFFFF"/>
    <w:lvl w:ilvl="0" w:tplc="0B121658">
      <w:start w:val="1"/>
      <w:numFmt w:val="decimal"/>
      <w:lvlText w:val="%1."/>
      <w:lvlJc w:val="left"/>
      <w:pPr>
        <w:ind w:left="720" w:hanging="360"/>
      </w:pPr>
      <w:rPr>
        <w:rFonts w:ascii="Verdana,Calibri" w:hAnsi="Verdana,Calibri" w:hint="default"/>
      </w:rPr>
    </w:lvl>
    <w:lvl w:ilvl="1" w:tplc="6D2CD31A">
      <w:start w:val="1"/>
      <w:numFmt w:val="lowerLetter"/>
      <w:lvlText w:val="%2."/>
      <w:lvlJc w:val="left"/>
      <w:pPr>
        <w:ind w:left="1440" w:hanging="360"/>
      </w:pPr>
    </w:lvl>
    <w:lvl w:ilvl="2" w:tplc="110EC7C8">
      <w:start w:val="1"/>
      <w:numFmt w:val="lowerRoman"/>
      <w:lvlText w:val="%3."/>
      <w:lvlJc w:val="right"/>
      <w:pPr>
        <w:ind w:left="2160" w:hanging="180"/>
      </w:pPr>
    </w:lvl>
    <w:lvl w:ilvl="3" w:tplc="00CE2F58">
      <w:start w:val="1"/>
      <w:numFmt w:val="decimal"/>
      <w:lvlText w:val="%4."/>
      <w:lvlJc w:val="left"/>
      <w:pPr>
        <w:ind w:left="2880" w:hanging="360"/>
      </w:pPr>
    </w:lvl>
    <w:lvl w:ilvl="4" w:tplc="A63CCD48">
      <w:start w:val="1"/>
      <w:numFmt w:val="lowerLetter"/>
      <w:lvlText w:val="%5."/>
      <w:lvlJc w:val="left"/>
      <w:pPr>
        <w:ind w:left="3600" w:hanging="360"/>
      </w:pPr>
    </w:lvl>
    <w:lvl w:ilvl="5" w:tplc="BBF07D5C">
      <w:start w:val="1"/>
      <w:numFmt w:val="lowerRoman"/>
      <w:lvlText w:val="%6."/>
      <w:lvlJc w:val="right"/>
      <w:pPr>
        <w:ind w:left="4320" w:hanging="180"/>
      </w:pPr>
    </w:lvl>
    <w:lvl w:ilvl="6" w:tplc="936AE1E4">
      <w:start w:val="1"/>
      <w:numFmt w:val="decimal"/>
      <w:lvlText w:val="%7."/>
      <w:lvlJc w:val="left"/>
      <w:pPr>
        <w:ind w:left="5040" w:hanging="360"/>
      </w:pPr>
    </w:lvl>
    <w:lvl w:ilvl="7" w:tplc="65DC2020">
      <w:start w:val="1"/>
      <w:numFmt w:val="lowerLetter"/>
      <w:lvlText w:val="%8."/>
      <w:lvlJc w:val="left"/>
      <w:pPr>
        <w:ind w:left="5760" w:hanging="360"/>
      </w:pPr>
    </w:lvl>
    <w:lvl w:ilvl="8" w:tplc="E7822842">
      <w:start w:val="1"/>
      <w:numFmt w:val="lowerRoman"/>
      <w:lvlText w:val="%9."/>
      <w:lvlJc w:val="right"/>
      <w:pPr>
        <w:ind w:left="6480" w:hanging="180"/>
      </w:pPr>
    </w:lvl>
  </w:abstractNum>
  <w:abstractNum w:abstractNumId="19" w15:restartNumberingAfterBreak="0">
    <w:nsid w:val="3EEE6155"/>
    <w:multiLevelType w:val="hybridMultilevel"/>
    <w:tmpl w:val="B3AEB0BA"/>
    <w:lvl w:ilvl="0" w:tplc="488A6BFA">
      <w:start w:val="1"/>
      <w:numFmt w:val="bullet"/>
      <w:lvlText w:val="­"/>
      <w:lvlJc w:val="left"/>
      <w:pPr>
        <w:ind w:left="724" w:hanging="360"/>
      </w:pPr>
      <w:rPr>
        <w:rFonts w:ascii="Courier New" w:hAnsi="Courier New" w:hint="default"/>
      </w:rPr>
    </w:lvl>
    <w:lvl w:ilvl="1" w:tplc="FFFFFFFF" w:tentative="1">
      <w:start w:val="1"/>
      <w:numFmt w:val="bullet"/>
      <w:lvlText w:val="o"/>
      <w:lvlJc w:val="left"/>
      <w:pPr>
        <w:ind w:left="1444" w:hanging="360"/>
      </w:pPr>
      <w:rPr>
        <w:rFonts w:ascii="Courier New" w:hAnsi="Courier New" w:cs="Courier New" w:hint="default"/>
      </w:rPr>
    </w:lvl>
    <w:lvl w:ilvl="2" w:tplc="FFFFFFFF" w:tentative="1">
      <w:start w:val="1"/>
      <w:numFmt w:val="bullet"/>
      <w:lvlText w:val=""/>
      <w:lvlJc w:val="left"/>
      <w:pPr>
        <w:ind w:left="2164" w:hanging="360"/>
      </w:pPr>
      <w:rPr>
        <w:rFonts w:ascii="Wingdings" w:hAnsi="Wingdings" w:hint="default"/>
      </w:rPr>
    </w:lvl>
    <w:lvl w:ilvl="3" w:tplc="FFFFFFFF" w:tentative="1">
      <w:start w:val="1"/>
      <w:numFmt w:val="bullet"/>
      <w:lvlText w:val=""/>
      <w:lvlJc w:val="left"/>
      <w:pPr>
        <w:ind w:left="2884" w:hanging="360"/>
      </w:pPr>
      <w:rPr>
        <w:rFonts w:ascii="Symbol" w:hAnsi="Symbol" w:hint="default"/>
      </w:rPr>
    </w:lvl>
    <w:lvl w:ilvl="4" w:tplc="FFFFFFFF" w:tentative="1">
      <w:start w:val="1"/>
      <w:numFmt w:val="bullet"/>
      <w:lvlText w:val="o"/>
      <w:lvlJc w:val="left"/>
      <w:pPr>
        <w:ind w:left="3604" w:hanging="360"/>
      </w:pPr>
      <w:rPr>
        <w:rFonts w:ascii="Courier New" w:hAnsi="Courier New" w:cs="Courier New" w:hint="default"/>
      </w:rPr>
    </w:lvl>
    <w:lvl w:ilvl="5" w:tplc="FFFFFFFF" w:tentative="1">
      <w:start w:val="1"/>
      <w:numFmt w:val="bullet"/>
      <w:lvlText w:val=""/>
      <w:lvlJc w:val="left"/>
      <w:pPr>
        <w:ind w:left="4324" w:hanging="360"/>
      </w:pPr>
      <w:rPr>
        <w:rFonts w:ascii="Wingdings" w:hAnsi="Wingdings" w:hint="default"/>
      </w:rPr>
    </w:lvl>
    <w:lvl w:ilvl="6" w:tplc="FFFFFFFF" w:tentative="1">
      <w:start w:val="1"/>
      <w:numFmt w:val="bullet"/>
      <w:lvlText w:val=""/>
      <w:lvlJc w:val="left"/>
      <w:pPr>
        <w:ind w:left="5044" w:hanging="360"/>
      </w:pPr>
      <w:rPr>
        <w:rFonts w:ascii="Symbol" w:hAnsi="Symbol" w:hint="default"/>
      </w:rPr>
    </w:lvl>
    <w:lvl w:ilvl="7" w:tplc="FFFFFFFF" w:tentative="1">
      <w:start w:val="1"/>
      <w:numFmt w:val="bullet"/>
      <w:lvlText w:val="o"/>
      <w:lvlJc w:val="left"/>
      <w:pPr>
        <w:ind w:left="5764" w:hanging="360"/>
      </w:pPr>
      <w:rPr>
        <w:rFonts w:ascii="Courier New" w:hAnsi="Courier New" w:cs="Courier New" w:hint="default"/>
      </w:rPr>
    </w:lvl>
    <w:lvl w:ilvl="8" w:tplc="FFFFFFFF" w:tentative="1">
      <w:start w:val="1"/>
      <w:numFmt w:val="bullet"/>
      <w:lvlText w:val=""/>
      <w:lvlJc w:val="left"/>
      <w:pPr>
        <w:ind w:left="6484" w:hanging="360"/>
      </w:pPr>
      <w:rPr>
        <w:rFonts w:ascii="Wingdings" w:hAnsi="Wingdings" w:hint="default"/>
      </w:rPr>
    </w:lvl>
  </w:abstractNum>
  <w:abstractNum w:abstractNumId="20" w15:restartNumberingAfterBreak="0">
    <w:nsid w:val="417C5616"/>
    <w:multiLevelType w:val="hybridMultilevel"/>
    <w:tmpl w:val="FFFFFFFF"/>
    <w:lvl w:ilvl="0" w:tplc="045A5E2A">
      <w:start w:val="1"/>
      <w:numFmt w:val="bullet"/>
      <w:lvlText w:val=""/>
      <w:lvlJc w:val="left"/>
      <w:pPr>
        <w:ind w:left="720" w:hanging="360"/>
      </w:pPr>
      <w:rPr>
        <w:rFonts w:ascii="Symbol" w:hAnsi="Symbol" w:hint="default"/>
      </w:rPr>
    </w:lvl>
    <w:lvl w:ilvl="1" w:tplc="F838023C">
      <w:start w:val="1"/>
      <w:numFmt w:val="bullet"/>
      <w:lvlText w:val="o"/>
      <w:lvlJc w:val="left"/>
      <w:pPr>
        <w:ind w:left="1440" w:hanging="360"/>
      </w:pPr>
      <w:rPr>
        <w:rFonts w:ascii="Courier New" w:hAnsi="Courier New" w:hint="default"/>
      </w:rPr>
    </w:lvl>
    <w:lvl w:ilvl="2" w:tplc="093C8504">
      <w:start w:val="1"/>
      <w:numFmt w:val="bullet"/>
      <w:lvlText w:val=""/>
      <w:lvlJc w:val="left"/>
      <w:pPr>
        <w:ind w:left="2160" w:hanging="360"/>
      </w:pPr>
      <w:rPr>
        <w:rFonts w:ascii="Wingdings" w:hAnsi="Wingdings" w:hint="default"/>
      </w:rPr>
    </w:lvl>
    <w:lvl w:ilvl="3" w:tplc="86C839EA">
      <w:start w:val="1"/>
      <w:numFmt w:val="bullet"/>
      <w:lvlText w:val=""/>
      <w:lvlJc w:val="left"/>
      <w:pPr>
        <w:ind w:left="2880" w:hanging="360"/>
      </w:pPr>
      <w:rPr>
        <w:rFonts w:ascii="Symbol" w:hAnsi="Symbol" w:hint="default"/>
      </w:rPr>
    </w:lvl>
    <w:lvl w:ilvl="4" w:tplc="48EE54A0">
      <w:start w:val="1"/>
      <w:numFmt w:val="bullet"/>
      <w:lvlText w:val="o"/>
      <w:lvlJc w:val="left"/>
      <w:pPr>
        <w:ind w:left="3600" w:hanging="360"/>
      </w:pPr>
      <w:rPr>
        <w:rFonts w:ascii="Courier New" w:hAnsi="Courier New" w:hint="default"/>
      </w:rPr>
    </w:lvl>
    <w:lvl w:ilvl="5" w:tplc="0F801C32">
      <w:start w:val="1"/>
      <w:numFmt w:val="bullet"/>
      <w:lvlText w:val=""/>
      <w:lvlJc w:val="left"/>
      <w:pPr>
        <w:ind w:left="4320" w:hanging="360"/>
      </w:pPr>
      <w:rPr>
        <w:rFonts w:ascii="Wingdings" w:hAnsi="Wingdings" w:hint="default"/>
      </w:rPr>
    </w:lvl>
    <w:lvl w:ilvl="6" w:tplc="2E3E82F0">
      <w:start w:val="1"/>
      <w:numFmt w:val="bullet"/>
      <w:lvlText w:val=""/>
      <w:lvlJc w:val="left"/>
      <w:pPr>
        <w:ind w:left="5040" w:hanging="360"/>
      </w:pPr>
      <w:rPr>
        <w:rFonts w:ascii="Symbol" w:hAnsi="Symbol" w:hint="default"/>
      </w:rPr>
    </w:lvl>
    <w:lvl w:ilvl="7" w:tplc="C62C0F06">
      <w:start w:val="1"/>
      <w:numFmt w:val="bullet"/>
      <w:lvlText w:val="o"/>
      <w:lvlJc w:val="left"/>
      <w:pPr>
        <w:ind w:left="5760" w:hanging="360"/>
      </w:pPr>
      <w:rPr>
        <w:rFonts w:ascii="Courier New" w:hAnsi="Courier New" w:hint="default"/>
      </w:rPr>
    </w:lvl>
    <w:lvl w:ilvl="8" w:tplc="CB6C6EA4">
      <w:start w:val="1"/>
      <w:numFmt w:val="bullet"/>
      <w:lvlText w:val=""/>
      <w:lvlJc w:val="left"/>
      <w:pPr>
        <w:ind w:left="6480" w:hanging="360"/>
      </w:pPr>
      <w:rPr>
        <w:rFonts w:ascii="Wingdings" w:hAnsi="Wingdings" w:hint="default"/>
      </w:rPr>
    </w:lvl>
  </w:abstractNum>
  <w:abstractNum w:abstractNumId="21" w15:restartNumberingAfterBreak="0">
    <w:nsid w:val="432527C7"/>
    <w:multiLevelType w:val="hybridMultilevel"/>
    <w:tmpl w:val="FFFFFFFF"/>
    <w:lvl w:ilvl="0" w:tplc="2F648A1E">
      <w:start w:val="1"/>
      <w:numFmt w:val="bullet"/>
      <w:lvlText w:val=""/>
      <w:lvlJc w:val="left"/>
      <w:pPr>
        <w:ind w:left="720" w:hanging="360"/>
      </w:pPr>
      <w:rPr>
        <w:rFonts w:ascii="Wingdings" w:hAnsi="Wingdings" w:hint="default"/>
      </w:rPr>
    </w:lvl>
    <w:lvl w:ilvl="1" w:tplc="184A1D68">
      <w:start w:val="1"/>
      <w:numFmt w:val="bullet"/>
      <w:lvlText w:val="o"/>
      <w:lvlJc w:val="left"/>
      <w:pPr>
        <w:ind w:left="1440" w:hanging="360"/>
      </w:pPr>
      <w:rPr>
        <w:rFonts w:ascii="Courier New" w:hAnsi="Courier New" w:hint="default"/>
      </w:rPr>
    </w:lvl>
    <w:lvl w:ilvl="2" w:tplc="61F8D55A">
      <w:start w:val="1"/>
      <w:numFmt w:val="bullet"/>
      <w:lvlText w:val=""/>
      <w:lvlJc w:val="left"/>
      <w:pPr>
        <w:ind w:left="2160" w:hanging="360"/>
      </w:pPr>
      <w:rPr>
        <w:rFonts w:ascii="Wingdings" w:hAnsi="Wingdings" w:hint="default"/>
      </w:rPr>
    </w:lvl>
    <w:lvl w:ilvl="3" w:tplc="78188F44">
      <w:start w:val="1"/>
      <w:numFmt w:val="bullet"/>
      <w:lvlText w:val=""/>
      <w:lvlJc w:val="left"/>
      <w:pPr>
        <w:ind w:left="2880" w:hanging="360"/>
      </w:pPr>
      <w:rPr>
        <w:rFonts w:ascii="Symbol" w:hAnsi="Symbol" w:hint="default"/>
      </w:rPr>
    </w:lvl>
    <w:lvl w:ilvl="4" w:tplc="B01CD09A">
      <w:start w:val="1"/>
      <w:numFmt w:val="bullet"/>
      <w:lvlText w:val="o"/>
      <w:lvlJc w:val="left"/>
      <w:pPr>
        <w:ind w:left="3600" w:hanging="360"/>
      </w:pPr>
      <w:rPr>
        <w:rFonts w:ascii="Courier New" w:hAnsi="Courier New" w:hint="default"/>
      </w:rPr>
    </w:lvl>
    <w:lvl w:ilvl="5" w:tplc="40847024">
      <w:start w:val="1"/>
      <w:numFmt w:val="bullet"/>
      <w:lvlText w:val=""/>
      <w:lvlJc w:val="left"/>
      <w:pPr>
        <w:ind w:left="4320" w:hanging="360"/>
      </w:pPr>
      <w:rPr>
        <w:rFonts w:ascii="Wingdings" w:hAnsi="Wingdings" w:hint="default"/>
      </w:rPr>
    </w:lvl>
    <w:lvl w:ilvl="6" w:tplc="77CA0D0C">
      <w:start w:val="1"/>
      <w:numFmt w:val="bullet"/>
      <w:lvlText w:val=""/>
      <w:lvlJc w:val="left"/>
      <w:pPr>
        <w:ind w:left="5040" w:hanging="360"/>
      </w:pPr>
      <w:rPr>
        <w:rFonts w:ascii="Symbol" w:hAnsi="Symbol" w:hint="default"/>
      </w:rPr>
    </w:lvl>
    <w:lvl w:ilvl="7" w:tplc="CD48B74E">
      <w:start w:val="1"/>
      <w:numFmt w:val="bullet"/>
      <w:lvlText w:val="o"/>
      <w:lvlJc w:val="left"/>
      <w:pPr>
        <w:ind w:left="5760" w:hanging="360"/>
      </w:pPr>
      <w:rPr>
        <w:rFonts w:ascii="Courier New" w:hAnsi="Courier New" w:hint="default"/>
      </w:rPr>
    </w:lvl>
    <w:lvl w:ilvl="8" w:tplc="ABFA3BA2">
      <w:start w:val="1"/>
      <w:numFmt w:val="bullet"/>
      <w:lvlText w:val=""/>
      <w:lvlJc w:val="left"/>
      <w:pPr>
        <w:ind w:left="6480" w:hanging="360"/>
      </w:pPr>
      <w:rPr>
        <w:rFonts w:ascii="Wingdings" w:hAnsi="Wingdings" w:hint="default"/>
      </w:rPr>
    </w:lvl>
  </w:abstractNum>
  <w:abstractNum w:abstractNumId="22" w15:restartNumberingAfterBreak="0">
    <w:nsid w:val="4807B31F"/>
    <w:multiLevelType w:val="hybridMultilevel"/>
    <w:tmpl w:val="FFFFFFFF"/>
    <w:lvl w:ilvl="0" w:tplc="3808EC06">
      <w:start w:val="1"/>
      <w:numFmt w:val="bullet"/>
      <w:lvlText w:val=""/>
      <w:lvlJc w:val="left"/>
      <w:pPr>
        <w:ind w:left="720" w:hanging="360"/>
      </w:pPr>
      <w:rPr>
        <w:rFonts w:ascii="Symbol" w:hAnsi="Symbol" w:hint="default"/>
      </w:rPr>
    </w:lvl>
    <w:lvl w:ilvl="1" w:tplc="2CECACE0">
      <w:start w:val="1"/>
      <w:numFmt w:val="bullet"/>
      <w:lvlText w:val=""/>
      <w:lvlJc w:val="left"/>
      <w:pPr>
        <w:ind w:left="1440" w:hanging="360"/>
      </w:pPr>
      <w:rPr>
        <w:rFonts w:ascii="Wingdings" w:hAnsi="Wingdings" w:hint="default"/>
      </w:rPr>
    </w:lvl>
    <w:lvl w:ilvl="2" w:tplc="9BD611A0">
      <w:start w:val="1"/>
      <w:numFmt w:val="bullet"/>
      <w:lvlText w:val=""/>
      <w:lvlJc w:val="left"/>
      <w:pPr>
        <w:ind w:left="2160" w:hanging="360"/>
      </w:pPr>
      <w:rPr>
        <w:rFonts w:ascii="Wingdings" w:hAnsi="Wingdings" w:hint="default"/>
      </w:rPr>
    </w:lvl>
    <w:lvl w:ilvl="3" w:tplc="A78AFE5E">
      <w:start w:val="1"/>
      <w:numFmt w:val="bullet"/>
      <w:lvlText w:val=""/>
      <w:lvlJc w:val="left"/>
      <w:pPr>
        <w:ind w:left="2880" w:hanging="360"/>
      </w:pPr>
      <w:rPr>
        <w:rFonts w:ascii="Symbol" w:hAnsi="Symbol" w:hint="default"/>
      </w:rPr>
    </w:lvl>
    <w:lvl w:ilvl="4" w:tplc="F78AEFD8">
      <w:start w:val="1"/>
      <w:numFmt w:val="bullet"/>
      <w:lvlText w:val="o"/>
      <w:lvlJc w:val="left"/>
      <w:pPr>
        <w:ind w:left="3600" w:hanging="360"/>
      </w:pPr>
      <w:rPr>
        <w:rFonts w:ascii="Courier New" w:hAnsi="Courier New" w:hint="default"/>
      </w:rPr>
    </w:lvl>
    <w:lvl w:ilvl="5" w:tplc="F900F97E">
      <w:start w:val="1"/>
      <w:numFmt w:val="bullet"/>
      <w:lvlText w:val=""/>
      <w:lvlJc w:val="left"/>
      <w:pPr>
        <w:ind w:left="4320" w:hanging="360"/>
      </w:pPr>
      <w:rPr>
        <w:rFonts w:ascii="Wingdings" w:hAnsi="Wingdings" w:hint="default"/>
      </w:rPr>
    </w:lvl>
    <w:lvl w:ilvl="6" w:tplc="FBDCF4DE">
      <w:start w:val="1"/>
      <w:numFmt w:val="bullet"/>
      <w:lvlText w:val=""/>
      <w:lvlJc w:val="left"/>
      <w:pPr>
        <w:ind w:left="5040" w:hanging="360"/>
      </w:pPr>
      <w:rPr>
        <w:rFonts w:ascii="Symbol" w:hAnsi="Symbol" w:hint="default"/>
      </w:rPr>
    </w:lvl>
    <w:lvl w:ilvl="7" w:tplc="A1C4499C">
      <w:start w:val="1"/>
      <w:numFmt w:val="bullet"/>
      <w:lvlText w:val="o"/>
      <w:lvlJc w:val="left"/>
      <w:pPr>
        <w:ind w:left="5760" w:hanging="360"/>
      </w:pPr>
      <w:rPr>
        <w:rFonts w:ascii="Courier New" w:hAnsi="Courier New" w:hint="default"/>
      </w:rPr>
    </w:lvl>
    <w:lvl w:ilvl="8" w:tplc="3C923402">
      <w:start w:val="1"/>
      <w:numFmt w:val="bullet"/>
      <w:lvlText w:val=""/>
      <w:lvlJc w:val="left"/>
      <w:pPr>
        <w:ind w:left="6480" w:hanging="360"/>
      </w:pPr>
      <w:rPr>
        <w:rFonts w:ascii="Wingdings" w:hAnsi="Wingdings" w:hint="default"/>
      </w:rPr>
    </w:lvl>
  </w:abstractNum>
  <w:abstractNum w:abstractNumId="23" w15:restartNumberingAfterBreak="0">
    <w:nsid w:val="4A0A9333"/>
    <w:multiLevelType w:val="hybridMultilevel"/>
    <w:tmpl w:val="FFFFFFFF"/>
    <w:lvl w:ilvl="0" w:tplc="AEC8B3F8">
      <w:start w:val="1"/>
      <w:numFmt w:val="bullet"/>
      <w:lvlText w:val=""/>
      <w:lvlJc w:val="left"/>
      <w:pPr>
        <w:ind w:left="720" w:hanging="360"/>
      </w:pPr>
      <w:rPr>
        <w:rFonts w:ascii="Symbol" w:hAnsi="Symbol" w:hint="default"/>
      </w:rPr>
    </w:lvl>
    <w:lvl w:ilvl="1" w:tplc="C9F8BD5C">
      <w:start w:val="1"/>
      <w:numFmt w:val="bullet"/>
      <w:lvlText w:val="o"/>
      <w:lvlJc w:val="left"/>
      <w:pPr>
        <w:ind w:left="1440" w:hanging="360"/>
      </w:pPr>
      <w:rPr>
        <w:rFonts w:ascii="Courier New" w:hAnsi="Courier New" w:hint="default"/>
      </w:rPr>
    </w:lvl>
    <w:lvl w:ilvl="2" w:tplc="24DC5B9E">
      <w:start w:val="1"/>
      <w:numFmt w:val="bullet"/>
      <w:lvlText w:val=""/>
      <w:lvlJc w:val="left"/>
      <w:pPr>
        <w:ind w:left="2160" w:hanging="360"/>
      </w:pPr>
      <w:rPr>
        <w:rFonts w:ascii="Wingdings" w:hAnsi="Wingdings" w:hint="default"/>
      </w:rPr>
    </w:lvl>
    <w:lvl w:ilvl="3" w:tplc="57E20352">
      <w:start w:val="1"/>
      <w:numFmt w:val="bullet"/>
      <w:lvlText w:val=""/>
      <w:lvlJc w:val="left"/>
      <w:pPr>
        <w:ind w:left="2880" w:hanging="360"/>
      </w:pPr>
      <w:rPr>
        <w:rFonts w:ascii="Symbol" w:hAnsi="Symbol" w:hint="default"/>
      </w:rPr>
    </w:lvl>
    <w:lvl w:ilvl="4" w:tplc="CED68C22">
      <w:start w:val="1"/>
      <w:numFmt w:val="bullet"/>
      <w:lvlText w:val="o"/>
      <w:lvlJc w:val="left"/>
      <w:pPr>
        <w:ind w:left="3600" w:hanging="360"/>
      </w:pPr>
      <w:rPr>
        <w:rFonts w:ascii="Courier New" w:hAnsi="Courier New" w:hint="default"/>
      </w:rPr>
    </w:lvl>
    <w:lvl w:ilvl="5" w:tplc="8C98354E">
      <w:start w:val="1"/>
      <w:numFmt w:val="bullet"/>
      <w:lvlText w:val=""/>
      <w:lvlJc w:val="left"/>
      <w:pPr>
        <w:ind w:left="4320" w:hanging="360"/>
      </w:pPr>
      <w:rPr>
        <w:rFonts w:ascii="Wingdings" w:hAnsi="Wingdings" w:hint="default"/>
      </w:rPr>
    </w:lvl>
    <w:lvl w:ilvl="6" w:tplc="37F66490">
      <w:start w:val="1"/>
      <w:numFmt w:val="bullet"/>
      <w:lvlText w:val=""/>
      <w:lvlJc w:val="left"/>
      <w:pPr>
        <w:ind w:left="5040" w:hanging="360"/>
      </w:pPr>
      <w:rPr>
        <w:rFonts w:ascii="Symbol" w:hAnsi="Symbol" w:hint="default"/>
      </w:rPr>
    </w:lvl>
    <w:lvl w:ilvl="7" w:tplc="4A38AF00">
      <w:start w:val="1"/>
      <w:numFmt w:val="bullet"/>
      <w:lvlText w:val="o"/>
      <w:lvlJc w:val="left"/>
      <w:pPr>
        <w:ind w:left="5760" w:hanging="360"/>
      </w:pPr>
      <w:rPr>
        <w:rFonts w:ascii="Courier New" w:hAnsi="Courier New" w:hint="default"/>
      </w:rPr>
    </w:lvl>
    <w:lvl w:ilvl="8" w:tplc="1196F5E0">
      <w:start w:val="1"/>
      <w:numFmt w:val="bullet"/>
      <w:lvlText w:val=""/>
      <w:lvlJc w:val="left"/>
      <w:pPr>
        <w:ind w:left="6480" w:hanging="360"/>
      </w:pPr>
      <w:rPr>
        <w:rFonts w:ascii="Wingdings" w:hAnsi="Wingdings" w:hint="default"/>
      </w:rPr>
    </w:lvl>
  </w:abstractNum>
  <w:abstractNum w:abstractNumId="24" w15:restartNumberingAfterBreak="0">
    <w:nsid w:val="4A5374BF"/>
    <w:multiLevelType w:val="hybridMultilevel"/>
    <w:tmpl w:val="FFFFFFFF"/>
    <w:lvl w:ilvl="0" w:tplc="B61289D0">
      <w:start w:val="1"/>
      <w:numFmt w:val="bullet"/>
      <w:lvlText w:val=""/>
      <w:lvlJc w:val="left"/>
      <w:pPr>
        <w:ind w:left="720" w:hanging="360"/>
      </w:pPr>
      <w:rPr>
        <w:rFonts w:ascii="Symbol" w:hAnsi="Symbol" w:hint="default"/>
      </w:rPr>
    </w:lvl>
    <w:lvl w:ilvl="1" w:tplc="6602B562">
      <w:start w:val="1"/>
      <w:numFmt w:val="bullet"/>
      <w:lvlText w:val=""/>
      <w:lvlJc w:val="left"/>
      <w:pPr>
        <w:ind w:left="1440" w:hanging="360"/>
      </w:pPr>
      <w:rPr>
        <w:rFonts w:ascii="Wingdings" w:hAnsi="Wingdings" w:hint="default"/>
      </w:rPr>
    </w:lvl>
    <w:lvl w:ilvl="2" w:tplc="E3B8CAA6">
      <w:start w:val="1"/>
      <w:numFmt w:val="bullet"/>
      <w:lvlText w:val=""/>
      <w:lvlJc w:val="left"/>
      <w:pPr>
        <w:ind w:left="2160" w:hanging="360"/>
      </w:pPr>
      <w:rPr>
        <w:rFonts w:ascii="Wingdings" w:hAnsi="Wingdings" w:hint="default"/>
      </w:rPr>
    </w:lvl>
    <w:lvl w:ilvl="3" w:tplc="F2B2562E">
      <w:start w:val="1"/>
      <w:numFmt w:val="bullet"/>
      <w:lvlText w:val=""/>
      <w:lvlJc w:val="left"/>
      <w:pPr>
        <w:ind w:left="2880" w:hanging="360"/>
      </w:pPr>
      <w:rPr>
        <w:rFonts w:ascii="Symbol" w:hAnsi="Symbol" w:hint="default"/>
      </w:rPr>
    </w:lvl>
    <w:lvl w:ilvl="4" w:tplc="BA002986">
      <w:start w:val="1"/>
      <w:numFmt w:val="bullet"/>
      <w:lvlText w:val="o"/>
      <w:lvlJc w:val="left"/>
      <w:pPr>
        <w:ind w:left="3600" w:hanging="360"/>
      </w:pPr>
      <w:rPr>
        <w:rFonts w:ascii="Courier New" w:hAnsi="Courier New" w:hint="default"/>
      </w:rPr>
    </w:lvl>
    <w:lvl w:ilvl="5" w:tplc="592C5494">
      <w:start w:val="1"/>
      <w:numFmt w:val="bullet"/>
      <w:lvlText w:val=""/>
      <w:lvlJc w:val="left"/>
      <w:pPr>
        <w:ind w:left="4320" w:hanging="360"/>
      </w:pPr>
      <w:rPr>
        <w:rFonts w:ascii="Wingdings" w:hAnsi="Wingdings" w:hint="default"/>
      </w:rPr>
    </w:lvl>
    <w:lvl w:ilvl="6" w:tplc="08922B02">
      <w:start w:val="1"/>
      <w:numFmt w:val="bullet"/>
      <w:lvlText w:val=""/>
      <w:lvlJc w:val="left"/>
      <w:pPr>
        <w:ind w:left="5040" w:hanging="360"/>
      </w:pPr>
      <w:rPr>
        <w:rFonts w:ascii="Symbol" w:hAnsi="Symbol" w:hint="default"/>
      </w:rPr>
    </w:lvl>
    <w:lvl w:ilvl="7" w:tplc="509844B8">
      <w:start w:val="1"/>
      <w:numFmt w:val="bullet"/>
      <w:lvlText w:val="o"/>
      <w:lvlJc w:val="left"/>
      <w:pPr>
        <w:ind w:left="5760" w:hanging="360"/>
      </w:pPr>
      <w:rPr>
        <w:rFonts w:ascii="Courier New" w:hAnsi="Courier New" w:hint="default"/>
      </w:rPr>
    </w:lvl>
    <w:lvl w:ilvl="8" w:tplc="949E14A0">
      <w:start w:val="1"/>
      <w:numFmt w:val="bullet"/>
      <w:lvlText w:val=""/>
      <w:lvlJc w:val="left"/>
      <w:pPr>
        <w:ind w:left="6480" w:hanging="360"/>
      </w:pPr>
      <w:rPr>
        <w:rFonts w:ascii="Wingdings" w:hAnsi="Wingdings" w:hint="default"/>
      </w:rPr>
    </w:lvl>
  </w:abstractNum>
  <w:abstractNum w:abstractNumId="25" w15:restartNumberingAfterBreak="0">
    <w:nsid w:val="4A5E29C7"/>
    <w:multiLevelType w:val="hybridMultilevel"/>
    <w:tmpl w:val="49C6B7DC"/>
    <w:lvl w:ilvl="0" w:tplc="6CF67C40">
      <w:start w:val="3"/>
      <w:numFmt w:val="upp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15:restartNumberingAfterBreak="0">
    <w:nsid w:val="4F2F06C3"/>
    <w:multiLevelType w:val="hybridMultilevel"/>
    <w:tmpl w:val="4844C03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15:restartNumberingAfterBreak="0">
    <w:nsid w:val="5110E1CB"/>
    <w:multiLevelType w:val="hybridMultilevel"/>
    <w:tmpl w:val="FFFFFFFF"/>
    <w:lvl w:ilvl="0" w:tplc="36FA69E8">
      <w:start w:val="1"/>
      <w:numFmt w:val="bullet"/>
      <w:lvlText w:val=""/>
      <w:lvlJc w:val="left"/>
      <w:pPr>
        <w:ind w:left="720" w:hanging="360"/>
      </w:pPr>
      <w:rPr>
        <w:rFonts w:ascii="Symbol" w:hAnsi="Symbol" w:hint="default"/>
      </w:rPr>
    </w:lvl>
    <w:lvl w:ilvl="1" w:tplc="66D43F72">
      <w:start w:val="1"/>
      <w:numFmt w:val="bullet"/>
      <w:lvlText w:val=""/>
      <w:lvlJc w:val="left"/>
      <w:pPr>
        <w:ind w:left="1440" w:hanging="360"/>
      </w:pPr>
      <w:rPr>
        <w:rFonts w:ascii="Wingdings" w:hAnsi="Wingdings" w:hint="default"/>
      </w:rPr>
    </w:lvl>
    <w:lvl w:ilvl="2" w:tplc="6B0282DC">
      <w:start w:val="1"/>
      <w:numFmt w:val="bullet"/>
      <w:lvlText w:val=""/>
      <w:lvlJc w:val="left"/>
      <w:pPr>
        <w:ind w:left="2160" w:hanging="360"/>
      </w:pPr>
      <w:rPr>
        <w:rFonts w:ascii="Wingdings" w:hAnsi="Wingdings" w:hint="default"/>
      </w:rPr>
    </w:lvl>
    <w:lvl w:ilvl="3" w:tplc="AA3AFEBA">
      <w:start w:val="1"/>
      <w:numFmt w:val="bullet"/>
      <w:lvlText w:val=""/>
      <w:lvlJc w:val="left"/>
      <w:pPr>
        <w:ind w:left="2880" w:hanging="360"/>
      </w:pPr>
      <w:rPr>
        <w:rFonts w:ascii="Symbol" w:hAnsi="Symbol" w:hint="default"/>
      </w:rPr>
    </w:lvl>
    <w:lvl w:ilvl="4" w:tplc="E04C6D22">
      <w:start w:val="1"/>
      <w:numFmt w:val="bullet"/>
      <w:lvlText w:val="o"/>
      <w:lvlJc w:val="left"/>
      <w:pPr>
        <w:ind w:left="3600" w:hanging="360"/>
      </w:pPr>
      <w:rPr>
        <w:rFonts w:ascii="Courier New" w:hAnsi="Courier New" w:hint="default"/>
      </w:rPr>
    </w:lvl>
    <w:lvl w:ilvl="5" w:tplc="5276C9E6">
      <w:start w:val="1"/>
      <w:numFmt w:val="bullet"/>
      <w:lvlText w:val=""/>
      <w:lvlJc w:val="left"/>
      <w:pPr>
        <w:ind w:left="4320" w:hanging="360"/>
      </w:pPr>
      <w:rPr>
        <w:rFonts w:ascii="Wingdings" w:hAnsi="Wingdings" w:hint="default"/>
      </w:rPr>
    </w:lvl>
    <w:lvl w:ilvl="6" w:tplc="29807472">
      <w:start w:val="1"/>
      <w:numFmt w:val="bullet"/>
      <w:lvlText w:val=""/>
      <w:lvlJc w:val="left"/>
      <w:pPr>
        <w:ind w:left="5040" w:hanging="360"/>
      </w:pPr>
      <w:rPr>
        <w:rFonts w:ascii="Symbol" w:hAnsi="Symbol" w:hint="default"/>
      </w:rPr>
    </w:lvl>
    <w:lvl w:ilvl="7" w:tplc="C0B206C0">
      <w:start w:val="1"/>
      <w:numFmt w:val="bullet"/>
      <w:lvlText w:val="o"/>
      <w:lvlJc w:val="left"/>
      <w:pPr>
        <w:ind w:left="5760" w:hanging="360"/>
      </w:pPr>
      <w:rPr>
        <w:rFonts w:ascii="Courier New" w:hAnsi="Courier New" w:hint="default"/>
      </w:rPr>
    </w:lvl>
    <w:lvl w:ilvl="8" w:tplc="53C2BCD4">
      <w:start w:val="1"/>
      <w:numFmt w:val="bullet"/>
      <w:lvlText w:val=""/>
      <w:lvlJc w:val="left"/>
      <w:pPr>
        <w:ind w:left="6480" w:hanging="360"/>
      </w:pPr>
      <w:rPr>
        <w:rFonts w:ascii="Wingdings" w:hAnsi="Wingdings" w:hint="default"/>
      </w:rPr>
    </w:lvl>
  </w:abstractNum>
  <w:abstractNum w:abstractNumId="28" w15:restartNumberingAfterBreak="0">
    <w:nsid w:val="53713E9C"/>
    <w:multiLevelType w:val="hybridMultilevel"/>
    <w:tmpl w:val="FFFFFFFF"/>
    <w:lvl w:ilvl="0" w:tplc="AB240682">
      <w:start w:val="1"/>
      <w:numFmt w:val="bullet"/>
      <w:lvlText w:val=""/>
      <w:lvlJc w:val="left"/>
      <w:pPr>
        <w:ind w:left="720" w:hanging="360"/>
      </w:pPr>
      <w:rPr>
        <w:rFonts w:ascii="Symbol" w:hAnsi="Symbol" w:hint="default"/>
      </w:rPr>
    </w:lvl>
    <w:lvl w:ilvl="1" w:tplc="EC9E0FDC">
      <w:start w:val="1"/>
      <w:numFmt w:val="bullet"/>
      <w:lvlText w:val=""/>
      <w:lvlJc w:val="left"/>
      <w:pPr>
        <w:ind w:left="1440" w:hanging="360"/>
      </w:pPr>
      <w:rPr>
        <w:rFonts w:ascii="Wingdings" w:hAnsi="Wingdings" w:hint="default"/>
      </w:rPr>
    </w:lvl>
    <w:lvl w:ilvl="2" w:tplc="C106B384">
      <w:start w:val="1"/>
      <w:numFmt w:val="bullet"/>
      <w:lvlText w:val=""/>
      <w:lvlJc w:val="left"/>
      <w:pPr>
        <w:ind w:left="2160" w:hanging="360"/>
      </w:pPr>
      <w:rPr>
        <w:rFonts w:ascii="Wingdings" w:hAnsi="Wingdings" w:hint="default"/>
      </w:rPr>
    </w:lvl>
    <w:lvl w:ilvl="3" w:tplc="866A0C0C">
      <w:start w:val="1"/>
      <w:numFmt w:val="bullet"/>
      <w:lvlText w:val=""/>
      <w:lvlJc w:val="left"/>
      <w:pPr>
        <w:ind w:left="2880" w:hanging="360"/>
      </w:pPr>
      <w:rPr>
        <w:rFonts w:ascii="Symbol" w:hAnsi="Symbol" w:hint="default"/>
      </w:rPr>
    </w:lvl>
    <w:lvl w:ilvl="4" w:tplc="7332E4BE">
      <w:start w:val="1"/>
      <w:numFmt w:val="bullet"/>
      <w:lvlText w:val="o"/>
      <w:lvlJc w:val="left"/>
      <w:pPr>
        <w:ind w:left="3600" w:hanging="360"/>
      </w:pPr>
      <w:rPr>
        <w:rFonts w:ascii="Courier New" w:hAnsi="Courier New" w:hint="default"/>
      </w:rPr>
    </w:lvl>
    <w:lvl w:ilvl="5" w:tplc="F23EBD1E">
      <w:start w:val="1"/>
      <w:numFmt w:val="bullet"/>
      <w:lvlText w:val=""/>
      <w:lvlJc w:val="left"/>
      <w:pPr>
        <w:ind w:left="4320" w:hanging="360"/>
      </w:pPr>
      <w:rPr>
        <w:rFonts w:ascii="Wingdings" w:hAnsi="Wingdings" w:hint="default"/>
      </w:rPr>
    </w:lvl>
    <w:lvl w:ilvl="6" w:tplc="DE921826">
      <w:start w:val="1"/>
      <w:numFmt w:val="bullet"/>
      <w:lvlText w:val=""/>
      <w:lvlJc w:val="left"/>
      <w:pPr>
        <w:ind w:left="5040" w:hanging="360"/>
      </w:pPr>
      <w:rPr>
        <w:rFonts w:ascii="Symbol" w:hAnsi="Symbol" w:hint="default"/>
      </w:rPr>
    </w:lvl>
    <w:lvl w:ilvl="7" w:tplc="CEC01058">
      <w:start w:val="1"/>
      <w:numFmt w:val="bullet"/>
      <w:lvlText w:val="o"/>
      <w:lvlJc w:val="left"/>
      <w:pPr>
        <w:ind w:left="5760" w:hanging="360"/>
      </w:pPr>
      <w:rPr>
        <w:rFonts w:ascii="Courier New" w:hAnsi="Courier New" w:hint="default"/>
      </w:rPr>
    </w:lvl>
    <w:lvl w:ilvl="8" w:tplc="6718A51A">
      <w:start w:val="1"/>
      <w:numFmt w:val="bullet"/>
      <w:lvlText w:val=""/>
      <w:lvlJc w:val="left"/>
      <w:pPr>
        <w:ind w:left="6480" w:hanging="360"/>
      </w:pPr>
      <w:rPr>
        <w:rFonts w:ascii="Wingdings" w:hAnsi="Wingdings" w:hint="default"/>
      </w:rPr>
    </w:lvl>
  </w:abstractNum>
  <w:abstractNum w:abstractNumId="29" w15:restartNumberingAfterBreak="0">
    <w:nsid w:val="545FC70A"/>
    <w:multiLevelType w:val="hybridMultilevel"/>
    <w:tmpl w:val="FFFFFFFF"/>
    <w:lvl w:ilvl="0" w:tplc="9B30319C">
      <w:start w:val="1"/>
      <w:numFmt w:val="decimal"/>
      <w:lvlText w:val="%1."/>
      <w:lvlJc w:val="left"/>
      <w:pPr>
        <w:ind w:left="1068" w:hanging="360"/>
      </w:pPr>
      <w:rPr>
        <w:rFonts w:ascii="Verdana,Calibri" w:hAnsi="Verdana,Calibri" w:hint="default"/>
      </w:rPr>
    </w:lvl>
    <w:lvl w:ilvl="1" w:tplc="81BC75D6">
      <w:start w:val="1"/>
      <w:numFmt w:val="lowerLetter"/>
      <w:lvlText w:val="%2."/>
      <w:lvlJc w:val="left"/>
      <w:pPr>
        <w:ind w:left="1440" w:hanging="360"/>
      </w:pPr>
    </w:lvl>
    <w:lvl w:ilvl="2" w:tplc="FE3E50CE">
      <w:start w:val="1"/>
      <w:numFmt w:val="lowerRoman"/>
      <w:lvlText w:val="%3."/>
      <w:lvlJc w:val="right"/>
      <w:pPr>
        <w:ind w:left="2160" w:hanging="180"/>
      </w:pPr>
    </w:lvl>
    <w:lvl w:ilvl="3" w:tplc="5128E012">
      <w:start w:val="1"/>
      <w:numFmt w:val="decimal"/>
      <w:lvlText w:val="%4."/>
      <w:lvlJc w:val="left"/>
      <w:pPr>
        <w:ind w:left="2880" w:hanging="360"/>
      </w:pPr>
    </w:lvl>
    <w:lvl w:ilvl="4" w:tplc="9B162F58">
      <w:start w:val="1"/>
      <w:numFmt w:val="lowerLetter"/>
      <w:lvlText w:val="%5."/>
      <w:lvlJc w:val="left"/>
      <w:pPr>
        <w:ind w:left="3600" w:hanging="360"/>
      </w:pPr>
    </w:lvl>
    <w:lvl w:ilvl="5" w:tplc="B78AAFC8">
      <w:start w:val="1"/>
      <w:numFmt w:val="lowerRoman"/>
      <w:lvlText w:val="%6."/>
      <w:lvlJc w:val="right"/>
      <w:pPr>
        <w:ind w:left="4320" w:hanging="180"/>
      </w:pPr>
    </w:lvl>
    <w:lvl w:ilvl="6" w:tplc="3DD46242">
      <w:start w:val="1"/>
      <w:numFmt w:val="decimal"/>
      <w:lvlText w:val="%7."/>
      <w:lvlJc w:val="left"/>
      <w:pPr>
        <w:ind w:left="5040" w:hanging="360"/>
      </w:pPr>
    </w:lvl>
    <w:lvl w:ilvl="7" w:tplc="18722CD0">
      <w:start w:val="1"/>
      <w:numFmt w:val="lowerLetter"/>
      <w:lvlText w:val="%8."/>
      <w:lvlJc w:val="left"/>
      <w:pPr>
        <w:ind w:left="5760" w:hanging="360"/>
      </w:pPr>
    </w:lvl>
    <w:lvl w:ilvl="8" w:tplc="6CC67726">
      <w:start w:val="1"/>
      <w:numFmt w:val="lowerRoman"/>
      <w:lvlText w:val="%9."/>
      <w:lvlJc w:val="right"/>
      <w:pPr>
        <w:ind w:left="6480" w:hanging="180"/>
      </w:pPr>
    </w:lvl>
  </w:abstractNum>
  <w:abstractNum w:abstractNumId="30" w15:restartNumberingAfterBreak="0">
    <w:nsid w:val="58B838E6"/>
    <w:multiLevelType w:val="hybridMultilevel"/>
    <w:tmpl w:val="FFFFFFFF"/>
    <w:lvl w:ilvl="0" w:tplc="8634FFA0">
      <w:start w:val="1"/>
      <w:numFmt w:val="bullet"/>
      <w:lvlText w:val=""/>
      <w:lvlJc w:val="left"/>
      <w:pPr>
        <w:ind w:left="720" w:hanging="360"/>
      </w:pPr>
      <w:rPr>
        <w:rFonts w:ascii="Symbol" w:hAnsi="Symbol" w:hint="default"/>
      </w:rPr>
    </w:lvl>
    <w:lvl w:ilvl="1" w:tplc="22C09ED2">
      <w:start w:val="1"/>
      <w:numFmt w:val="bullet"/>
      <w:lvlText w:val="o"/>
      <w:lvlJc w:val="left"/>
      <w:pPr>
        <w:ind w:left="1440" w:hanging="360"/>
      </w:pPr>
      <w:rPr>
        <w:rFonts w:ascii="Courier New" w:hAnsi="Courier New" w:hint="default"/>
      </w:rPr>
    </w:lvl>
    <w:lvl w:ilvl="2" w:tplc="794AA576">
      <w:start w:val="1"/>
      <w:numFmt w:val="bullet"/>
      <w:lvlText w:val=""/>
      <w:lvlJc w:val="left"/>
      <w:pPr>
        <w:ind w:left="2160" w:hanging="360"/>
      </w:pPr>
      <w:rPr>
        <w:rFonts w:ascii="Wingdings" w:hAnsi="Wingdings" w:hint="default"/>
      </w:rPr>
    </w:lvl>
    <w:lvl w:ilvl="3" w:tplc="4A9EE372">
      <w:start w:val="1"/>
      <w:numFmt w:val="bullet"/>
      <w:lvlText w:val=""/>
      <w:lvlJc w:val="left"/>
      <w:pPr>
        <w:ind w:left="2880" w:hanging="360"/>
      </w:pPr>
      <w:rPr>
        <w:rFonts w:ascii="Symbol" w:hAnsi="Symbol" w:hint="default"/>
      </w:rPr>
    </w:lvl>
    <w:lvl w:ilvl="4" w:tplc="20BA02A6">
      <w:start w:val="1"/>
      <w:numFmt w:val="bullet"/>
      <w:lvlText w:val="o"/>
      <w:lvlJc w:val="left"/>
      <w:pPr>
        <w:ind w:left="3600" w:hanging="360"/>
      </w:pPr>
      <w:rPr>
        <w:rFonts w:ascii="Courier New" w:hAnsi="Courier New" w:hint="default"/>
      </w:rPr>
    </w:lvl>
    <w:lvl w:ilvl="5" w:tplc="1B7CCF3C">
      <w:start w:val="1"/>
      <w:numFmt w:val="bullet"/>
      <w:lvlText w:val=""/>
      <w:lvlJc w:val="left"/>
      <w:pPr>
        <w:ind w:left="4320" w:hanging="360"/>
      </w:pPr>
      <w:rPr>
        <w:rFonts w:ascii="Wingdings" w:hAnsi="Wingdings" w:hint="default"/>
      </w:rPr>
    </w:lvl>
    <w:lvl w:ilvl="6" w:tplc="C526D114">
      <w:start w:val="1"/>
      <w:numFmt w:val="bullet"/>
      <w:lvlText w:val=""/>
      <w:lvlJc w:val="left"/>
      <w:pPr>
        <w:ind w:left="5040" w:hanging="360"/>
      </w:pPr>
      <w:rPr>
        <w:rFonts w:ascii="Symbol" w:hAnsi="Symbol" w:hint="default"/>
      </w:rPr>
    </w:lvl>
    <w:lvl w:ilvl="7" w:tplc="681EA9EC">
      <w:start w:val="1"/>
      <w:numFmt w:val="bullet"/>
      <w:lvlText w:val="o"/>
      <w:lvlJc w:val="left"/>
      <w:pPr>
        <w:ind w:left="5760" w:hanging="360"/>
      </w:pPr>
      <w:rPr>
        <w:rFonts w:ascii="Courier New" w:hAnsi="Courier New" w:hint="default"/>
      </w:rPr>
    </w:lvl>
    <w:lvl w:ilvl="8" w:tplc="524A63E2">
      <w:start w:val="1"/>
      <w:numFmt w:val="bullet"/>
      <w:lvlText w:val=""/>
      <w:lvlJc w:val="left"/>
      <w:pPr>
        <w:ind w:left="6480" w:hanging="360"/>
      </w:pPr>
      <w:rPr>
        <w:rFonts w:ascii="Wingdings" w:hAnsi="Wingdings" w:hint="default"/>
      </w:rPr>
    </w:lvl>
  </w:abstractNum>
  <w:abstractNum w:abstractNumId="31" w15:restartNumberingAfterBreak="0">
    <w:nsid w:val="58E825E8"/>
    <w:multiLevelType w:val="hybridMultilevel"/>
    <w:tmpl w:val="FFFFFFFF"/>
    <w:lvl w:ilvl="0" w:tplc="CCD0C46C">
      <w:start w:val="1"/>
      <w:numFmt w:val="bullet"/>
      <w:lvlText w:val=""/>
      <w:lvlJc w:val="left"/>
      <w:pPr>
        <w:ind w:left="720" w:hanging="360"/>
      </w:pPr>
      <w:rPr>
        <w:rFonts w:ascii="Symbol" w:hAnsi="Symbol" w:hint="default"/>
      </w:rPr>
    </w:lvl>
    <w:lvl w:ilvl="1" w:tplc="DD7EACD2">
      <w:start w:val="1"/>
      <w:numFmt w:val="bullet"/>
      <w:lvlText w:val="o"/>
      <w:lvlJc w:val="left"/>
      <w:pPr>
        <w:ind w:left="1440" w:hanging="360"/>
      </w:pPr>
      <w:rPr>
        <w:rFonts w:ascii="Courier New" w:hAnsi="Courier New" w:hint="default"/>
      </w:rPr>
    </w:lvl>
    <w:lvl w:ilvl="2" w:tplc="86283ABA">
      <w:start w:val="1"/>
      <w:numFmt w:val="bullet"/>
      <w:lvlText w:val=""/>
      <w:lvlJc w:val="left"/>
      <w:pPr>
        <w:ind w:left="2160" w:hanging="360"/>
      </w:pPr>
      <w:rPr>
        <w:rFonts w:ascii="Wingdings" w:hAnsi="Wingdings" w:hint="default"/>
      </w:rPr>
    </w:lvl>
    <w:lvl w:ilvl="3" w:tplc="54F21C68">
      <w:start w:val="1"/>
      <w:numFmt w:val="bullet"/>
      <w:lvlText w:val=""/>
      <w:lvlJc w:val="left"/>
      <w:pPr>
        <w:ind w:left="2880" w:hanging="360"/>
      </w:pPr>
      <w:rPr>
        <w:rFonts w:ascii="Symbol" w:hAnsi="Symbol" w:hint="default"/>
      </w:rPr>
    </w:lvl>
    <w:lvl w:ilvl="4" w:tplc="4762DD04">
      <w:start w:val="1"/>
      <w:numFmt w:val="bullet"/>
      <w:lvlText w:val="o"/>
      <w:lvlJc w:val="left"/>
      <w:pPr>
        <w:ind w:left="3600" w:hanging="360"/>
      </w:pPr>
      <w:rPr>
        <w:rFonts w:ascii="Courier New" w:hAnsi="Courier New" w:hint="default"/>
      </w:rPr>
    </w:lvl>
    <w:lvl w:ilvl="5" w:tplc="5CA6C46C">
      <w:start w:val="1"/>
      <w:numFmt w:val="bullet"/>
      <w:lvlText w:val=""/>
      <w:lvlJc w:val="left"/>
      <w:pPr>
        <w:ind w:left="4320" w:hanging="360"/>
      </w:pPr>
      <w:rPr>
        <w:rFonts w:ascii="Wingdings" w:hAnsi="Wingdings" w:hint="default"/>
      </w:rPr>
    </w:lvl>
    <w:lvl w:ilvl="6" w:tplc="EDF0A9F4">
      <w:start w:val="1"/>
      <w:numFmt w:val="bullet"/>
      <w:lvlText w:val=""/>
      <w:lvlJc w:val="left"/>
      <w:pPr>
        <w:ind w:left="5040" w:hanging="360"/>
      </w:pPr>
      <w:rPr>
        <w:rFonts w:ascii="Symbol" w:hAnsi="Symbol" w:hint="default"/>
      </w:rPr>
    </w:lvl>
    <w:lvl w:ilvl="7" w:tplc="9A66EC04">
      <w:start w:val="1"/>
      <w:numFmt w:val="bullet"/>
      <w:lvlText w:val="o"/>
      <w:lvlJc w:val="left"/>
      <w:pPr>
        <w:ind w:left="5760" w:hanging="360"/>
      </w:pPr>
      <w:rPr>
        <w:rFonts w:ascii="Courier New" w:hAnsi="Courier New" w:hint="default"/>
      </w:rPr>
    </w:lvl>
    <w:lvl w:ilvl="8" w:tplc="F3384D1C">
      <w:start w:val="1"/>
      <w:numFmt w:val="bullet"/>
      <w:lvlText w:val=""/>
      <w:lvlJc w:val="left"/>
      <w:pPr>
        <w:ind w:left="6480" w:hanging="360"/>
      </w:pPr>
      <w:rPr>
        <w:rFonts w:ascii="Wingdings" w:hAnsi="Wingdings" w:hint="default"/>
      </w:rPr>
    </w:lvl>
  </w:abstractNum>
  <w:abstractNum w:abstractNumId="32" w15:restartNumberingAfterBreak="0">
    <w:nsid w:val="5D9565C1"/>
    <w:multiLevelType w:val="hybridMultilevel"/>
    <w:tmpl w:val="C4E079F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15:restartNumberingAfterBreak="0">
    <w:nsid w:val="5EBE5E9B"/>
    <w:multiLevelType w:val="hybridMultilevel"/>
    <w:tmpl w:val="6C86E3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15:restartNumberingAfterBreak="0">
    <w:nsid w:val="5F35449F"/>
    <w:multiLevelType w:val="hybridMultilevel"/>
    <w:tmpl w:val="26FCFAF8"/>
    <w:lvl w:ilvl="0" w:tplc="0C0A0003">
      <w:start w:val="1"/>
      <w:numFmt w:val="bullet"/>
      <w:lvlText w:val="o"/>
      <w:lvlJc w:val="left"/>
      <w:pPr>
        <w:ind w:left="1065" w:hanging="360"/>
      </w:pPr>
      <w:rPr>
        <w:rFonts w:ascii="Courier New" w:hAnsi="Courier New" w:cs="Courier New" w:hint="default"/>
      </w:rPr>
    </w:lvl>
    <w:lvl w:ilvl="1" w:tplc="FFFFFFFF" w:tentative="1">
      <w:start w:val="1"/>
      <w:numFmt w:val="bullet"/>
      <w:lvlText w:val="o"/>
      <w:lvlJc w:val="left"/>
      <w:pPr>
        <w:ind w:left="1785" w:hanging="360"/>
      </w:pPr>
      <w:rPr>
        <w:rFonts w:ascii="Courier New" w:hAnsi="Courier New" w:cs="Courier New" w:hint="default"/>
      </w:rPr>
    </w:lvl>
    <w:lvl w:ilvl="2" w:tplc="FFFFFFFF" w:tentative="1">
      <w:start w:val="1"/>
      <w:numFmt w:val="bullet"/>
      <w:lvlText w:val=""/>
      <w:lvlJc w:val="left"/>
      <w:pPr>
        <w:ind w:left="2505" w:hanging="360"/>
      </w:pPr>
      <w:rPr>
        <w:rFonts w:ascii="Wingdings" w:hAnsi="Wingdings" w:hint="default"/>
      </w:rPr>
    </w:lvl>
    <w:lvl w:ilvl="3" w:tplc="FFFFFFFF" w:tentative="1">
      <w:start w:val="1"/>
      <w:numFmt w:val="bullet"/>
      <w:lvlText w:val=""/>
      <w:lvlJc w:val="left"/>
      <w:pPr>
        <w:ind w:left="3225" w:hanging="360"/>
      </w:pPr>
      <w:rPr>
        <w:rFonts w:ascii="Symbol" w:hAnsi="Symbol" w:hint="default"/>
      </w:rPr>
    </w:lvl>
    <w:lvl w:ilvl="4" w:tplc="FFFFFFFF" w:tentative="1">
      <w:start w:val="1"/>
      <w:numFmt w:val="bullet"/>
      <w:lvlText w:val="o"/>
      <w:lvlJc w:val="left"/>
      <w:pPr>
        <w:ind w:left="3945" w:hanging="360"/>
      </w:pPr>
      <w:rPr>
        <w:rFonts w:ascii="Courier New" w:hAnsi="Courier New" w:cs="Courier New" w:hint="default"/>
      </w:rPr>
    </w:lvl>
    <w:lvl w:ilvl="5" w:tplc="FFFFFFFF" w:tentative="1">
      <w:start w:val="1"/>
      <w:numFmt w:val="bullet"/>
      <w:lvlText w:val=""/>
      <w:lvlJc w:val="left"/>
      <w:pPr>
        <w:ind w:left="4665" w:hanging="360"/>
      </w:pPr>
      <w:rPr>
        <w:rFonts w:ascii="Wingdings" w:hAnsi="Wingdings" w:hint="default"/>
      </w:rPr>
    </w:lvl>
    <w:lvl w:ilvl="6" w:tplc="FFFFFFFF" w:tentative="1">
      <w:start w:val="1"/>
      <w:numFmt w:val="bullet"/>
      <w:lvlText w:val=""/>
      <w:lvlJc w:val="left"/>
      <w:pPr>
        <w:ind w:left="5385" w:hanging="360"/>
      </w:pPr>
      <w:rPr>
        <w:rFonts w:ascii="Symbol" w:hAnsi="Symbol" w:hint="default"/>
      </w:rPr>
    </w:lvl>
    <w:lvl w:ilvl="7" w:tplc="FFFFFFFF" w:tentative="1">
      <w:start w:val="1"/>
      <w:numFmt w:val="bullet"/>
      <w:lvlText w:val="o"/>
      <w:lvlJc w:val="left"/>
      <w:pPr>
        <w:ind w:left="6105" w:hanging="360"/>
      </w:pPr>
      <w:rPr>
        <w:rFonts w:ascii="Courier New" w:hAnsi="Courier New" w:cs="Courier New" w:hint="default"/>
      </w:rPr>
    </w:lvl>
    <w:lvl w:ilvl="8" w:tplc="FFFFFFFF" w:tentative="1">
      <w:start w:val="1"/>
      <w:numFmt w:val="bullet"/>
      <w:lvlText w:val=""/>
      <w:lvlJc w:val="left"/>
      <w:pPr>
        <w:ind w:left="6825" w:hanging="360"/>
      </w:pPr>
      <w:rPr>
        <w:rFonts w:ascii="Wingdings" w:hAnsi="Wingdings" w:hint="default"/>
      </w:rPr>
    </w:lvl>
  </w:abstractNum>
  <w:abstractNum w:abstractNumId="35" w15:restartNumberingAfterBreak="0">
    <w:nsid w:val="610F6003"/>
    <w:multiLevelType w:val="hybridMultilevel"/>
    <w:tmpl w:val="FFFFFFFF"/>
    <w:lvl w:ilvl="0" w:tplc="3F24D3B2">
      <w:start w:val="1"/>
      <w:numFmt w:val="bullet"/>
      <w:lvlText w:val=""/>
      <w:lvlJc w:val="left"/>
      <w:pPr>
        <w:ind w:left="720" w:hanging="360"/>
      </w:pPr>
      <w:rPr>
        <w:rFonts w:ascii="Symbol" w:hAnsi="Symbol" w:hint="default"/>
      </w:rPr>
    </w:lvl>
    <w:lvl w:ilvl="1" w:tplc="F4AE4A5E">
      <w:start w:val="1"/>
      <w:numFmt w:val="bullet"/>
      <w:lvlText w:val="o"/>
      <w:lvlJc w:val="left"/>
      <w:pPr>
        <w:ind w:left="1440" w:hanging="360"/>
      </w:pPr>
      <w:rPr>
        <w:rFonts w:ascii="Courier New" w:hAnsi="Courier New" w:hint="default"/>
      </w:rPr>
    </w:lvl>
    <w:lvl w:ilvl="2" w:tplc="600295BC">
      <w:start w:val="1"/>
      <w:numFmt w:val="bullet"/>
      <w:lvlText w:val=""/>
      <w:lvlJc w:val="left"/>
      <w:pPr>
        <w:ind w:left="2160" w:hanging="360"/>
      </w:pPr>
      <w:rPr>
        <w:rFonts w:ascii="Wingdings" w:hAnsi="Wingdings" w:hint="default"/>
      </w:rPr>
    </w:lvl>
    <w:lvl w:ilvl="3" w:tplc="B1B05EA0">
      <w:start w:val="1"/>
      <w:numFmt w:val="bullet"/>
      <w:lvlText w:val=""/>
      <w:lvlJc w:val="left"/>
      <w:pPr>
        <w:ind w:left="2880" w:hanging="360"/>
      </w:pPr>
      <w:rPr>
        <w:rFonts w:ascii="Symbol" w:hAnsi="Symbol" w:hint="default"/>
      </w:rPr>
    </w:lvl>
    <w:lvl w:ilvl="4" w:tplc="A7923FCC">
      <w:start w:val="1"/>
      <w:numFmt w:val="bullet"/>
      <w:lvlText w:val="o"/>
      <w:lvlJc w:val="left"/>
      <w:pPr>
        <w:ind w:left="3600" w:hanging="360"/>
      </w:pPr>
      <w:rPr>
        <w:rFonts w:ascii="Courier New" w:hAnsi="Courier New" w:hint="default"/>
      </w:rPr>
    </w:lvl>
    <w:lvl w:ilvl="5" w:tplc="0906986C">
      <w:start w:val="1"/>
      <w:numFmt w:val="bullet"/>
      <w:lvlText w:val=""/>
      <w:lvlJc w:val="left"/>
      <w:pPr>
        <w:ind w:left="4320" w:hanging="360"/>
      </w:pPr>
      <w:rPr>
        <w:rFonts w:ascii="Wingdings" w:hAnsi="Wingdings" w:hint="default"/>
      </w:rPr>
    </w:lvl>
    <w:lvl w:ilvl="6" w:tplc="E020A790">
      <w:start w:val="1"/>
      <w:numFmt w:val="bullet"/>
      <w:lvlText w:val=""/>
      <w:lvlJc w:val="left"/>
      <w:pPr>
        <w:ind w:left="5040" w:hanging="360"/>
      </w:pPr>
      <w:rPr>
        <w:rFonts w:ascii="Symbol" w:hAnsi="Symbol" w:hint="default"/>
      </w:rPr>
    </w:lvl>
    <w:lvl w:ilvl="7" w:tplc="E916710E">
      <w:start w:val="1"/>
      <w:numFmt w:val="bullet"/>
      <w:lvlText w:val="o"/>
      <w:lvlJc w:val="left"/>
      <w:pPr>
        <w:ind w:left="5760" w:hanging="360"/>
      </w:pPr>
      <w:rPr>
        <w:rFonts w:ascii="Courier New" w:hAnsi="Courier New" w:hint="default"/>
      </w:rPr>
    </w:lvl>
    <w:lvl w:ilvl="8" w:tplc="C4B28162">
      <w:start w:val="1"/>
      <w:numFmt w:val="bullet"/>
      <w:lvlText w:val=""/>
      <w:lvlJc w:val="left"/>
      <w:pPr>
        <w:ind w:left="6480" w:hanging="360"/>
      </w:pPr>
      <w:rPr>
        <w:rFonts w:ascii="Wingdings" w:hAnsi="Wingdings" w:hint="default"/>
      </w:rPr>
    </w:lvl>
  </w:abstractNum>
  <w:abstractNum w:abstractNumId="36" w15:restartNumberingAfterBreak="0">
    <w:nsid w:val="61F52E59"/>
    <w:multiLevelType w:val="hybridMultilevel"/>
    <w:tmpl w:val="855C852A"/>
    <w:lvl w:ilvl="0" w:tplc="488A6BFA">
      <w:start w:val="1"/>
      <w:numFmt w:val="bullet"/>
      <w:lvlText w:val="­"/>
      <w:lvlJc w:val="left"/>
      <w:pPr>
        <w:ind w:left="1004" w:hanging="360"/>
      </w:pPr>
      <w:rPr>
        <w:rFonts w:ascii="Courier New" w:hAnsi="Courier New" w:hint="default"/>
      </w:rPr>
    </w:lvl>
    <w:lvl w:ilvl="1" w:tplc="08160003" w:tentative="1">
      <w:start w:val="1"/>
      <w:numFmt w:val="bullet"/>
      <w:lvlText w:val="o"/>
      <w:lvlJc w:val="left"/>
      <w:pPr>
        <w:ind w:left="1724" w:hanging="360"/>
      </w:pPr>
      <w:rPr>
        <w:rFonts w:ascii="Courier New" w:hAnsi="Courier New" w:cs="Courier New" w:hint="default"/>
      </w:rPr>
    </w:lvl>
    <w:lvl w:ilvl="2" w:tplc="08160005" w:tentative="1">
      <w:start w:val="1"/>
      <w:numFmt w:val="bullet"/>
      <w:lvlText w:val=""/>
      <w:lvlJc w:val="left"/>
      <w:pPr>
        <w:ind w:left="2444" w:hanging="360"/>
      </w:pPr>
      <w:rPr>
        <w:rFonts w:ascii="Wingdings" w:hAnsi="Wingdings" w:hint="default"/>
      </w:rPr>
    </w:lvl>
    <w:lvl w:ilvl="3" w:tplc="08160001" w:tentative="1">
      <w:start w:val="1"/>
      <w:numFmt w:val="bullet"/>
      <w:lvlText w:val=""/>
      <w:lvlJc w:val="left"/>
      <w:pPr>
        <w:ind w:left="3164" w:hanging="360"/>
      </w:pPr>
      <w:rPr>
        <w:rFonts w:ascii="Symbol" w:hAnsi="Symbol" w:hint="default"/>
      </w:rPr>
    </w:lvl>
    <w:lvl w:ilvl="4" w:tplc="08160003" w:tentative="1">
      <w:start w:val="1"/>
      <w:numFmt w:val="bullet"/>
      <w:lvlText w:val="o"/>
      <w:lvlJc w:val="left"/>
      <w:pPr>
        <w:ind w:left="3884" w:hanging="360"/>
      </w:pPr>
      <w:rPr>
        <w:rFonts w:ascii="Courier New" w:hAnsi="Courier New" w:cs="Courier New" w:hint="default"/>
      </w:rPr>
    </w:lvl>
    <w:lvl w:ilvl="5" w:tplc="08160005" w:tentative="1">
      <w:start w:val="1"/>
      <w:numFmt w:val="bullet"/>
      <w:lvlText w:val=""/>
      <w:lvlJc w:val="left"/>
      <w:pPr>
        <w:ind w:left="4604" w:hanging="360"/>
      </w:pPr>
      <w:rPr>
        <w:rFonts w:ascii="Wingdings" w:hAnsi="Wingdings" w:hint="default"/>
      </w:rPr>
    </w:lvl>
    <w:lvl w:ilvl="6" w:tplc="08160001" w:tentative="1">
      <w:start w:val="1"/>
      <w:numFmt w:val="bullet"/>
      <w:lvlText w:val=""/>
      <w:lvlJc w:val="left"/>
      <w:pPr>
        <w:ind w:left="5324" w:hanging="360"/>
      </w:pPr>
      <w:rPr>
        <w:rFonts w:ascii="Symbol" w:hAnsi="Symbol" w:hint="default"/>
      </w:rPr>
    </w:lvl>
    <w:lvl w:ilvl="7" w:tplc="08160003" w:tentative="1">
      <w:start w:val="1"/>
      <w:numFmt w:val="bullet"/>
      <w:lvlText w:val="o"/>
      <w:lvlJc w:val="left"/>
      <w:pPr>
        <w:ind w:left="6044" w:hanging="360"/>
      </w:pPr>
      <w:rPr>
        <w:rFonts w:ascii="Courier New" w:hAnsi="Courier New" w:cs="Courier New" w:hint="default"/>
      </w:rPr>
    </w:lvl>
    <w:lvl w:ilvl="8" w:tplc="08160005" w:tentative="1">
      <w:start w:val="1"/>
      <w:numFmt w:val="bullet"/>
      <w:lvlText w:val=""/>
      <w:lvlJc w:val="left"/>
      <w:pPr>
        <w:ind w:left="6764" w:hanging="360"/>
      </w:pPr>
      <w:rPr>
        <w:rFonts w:ascii="Wingdings" w:hAnsi="Wingdings" w:hint="default"/>
      </w:rPr>
    </w:lvl>
  </w:abstractNum>
  <w:abstractNum w:abstractNumId="37" w15:restartNumberingAfterBreak="0">
    <w:nsid w:val="6B8C231B"/>
    <w:multiLevelType w:val="multilevel"/>
    <w:tmpl w:val="C148A278"/>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38" w15:restartNumberingAfterBreak="0">
    <w:nsid w:val="6D407D3F"/>
    <w:multiLevelType w:val="hybridMultilevel"/>
    <w:tmpl w:val="5FB2836C"/>
    <w:lvl w:ilvl="0" w:tplc="0C0A0013">
      <w:start w:val="1"/>
      <w:numFmt w:val="upperRoman"/>
      <w:lvlText w:val="%1."/>
      <w:lvlJc w:val="righ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9" w15:restartNumberingAfterBreak="0">
    <w:nsid w:val="6DE66981"/>
    <w:multiLevelType w:val="hybridMultilevel"/>
    <w:tmpl w:val="9E56F21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15:restartNumberingAfterBreak="0">
    <w:nsid w:val="6FE44F42"/>
    <w:multiLevelType w:val="hybridMultilevel"/>
    <w:tmpl w:val="FFFFFFFF"/>
    <w:lvl w:ilvl="0" w:tplc="473657E6">
      <w:start w:val="1"/>
      <w:numFmt w:val="bullet"/>
      <w:lvlText w:val=""/>
      <w:lvlJc w:val="left"/>
      <w:pPr>
        <w:ind w:left="720" w:hanging="360"/>
      </w:pPr>
      <w:rPr>
        <w:rFonts w:ascii="Symbol" w:hAnsi="Symbol" w:hint="default"/>
      </w:rPr>
    </w:lvl>
    <w:lvl w:ilvl="1" w:tplc="9A901458">
      <w:start w:val="1"/>
      <w:numFmt w:val="bullet"/>
      <w:lvlText w:val=""/>
      <w:lvlJc w:val="left"/>
      <w:pPr>
        <w:ind w:left="1440" w:hanging="360"/>
      </w:pPr>
      <w:rPr>
        <w:rFonts w:ascii="Wingdings" w:hAnsi="Wingdings" w:hint="default"/>
      </w:rPr>
    </w:lvl>
    <w:lvl w:ilvl="2" w:tplc="CAAA6296">
      <w:start w:val="1"/>
      <w:numFmt w:val="bullet"/>
      <w:lvlText w:val=""/>
      <w:lvlJc w:val="left"/>
      <w:pPr>
        <w:ind w:left="2160" w:hanging="360"/>
      </w:pPr>
      <w:rPr>
        <w:rFonts w:ascii="Wingdings" w:hAnsi="Wingdings" w:hint="default"/>
      </w:rPr>
    </w:lvl>
    <w:lvl w:ilvl="3" w:tplc="897282C4">
      <w:start w:val="1"/>
      <w:numFmt w:val="bullet"/>
      <w:lvlText w:val=""/>
      <w:lvlJc w:val="left"/>
      <w:pPr>
        <w:ind w:left="2880" w:hanging="360"/>
      </w:pPr>
      <w:rPr>
        <w:rFonts w:ascii="Symbol" w:hAnsi="Symbol" w:hint="default"/>
      </w:rPr>
    </w:lvl>
    <w:lvl w:ilvl="4" w:tplc="1EBC7800">
      <w:start w:val="1"/>
      <w:numFmt w:val="bullet"/>
      <w:lvlText w:val="o"/>
      <w:lvlJc w:val="left"/>
      <w:pPr>
        <w:ind w:left="3600" w:hanging="360"/>
      </w:pPr>
      <w:rPr>
        <w:rFonts w:ascii="Courier New" w:hAnsi="Courier New" w:hint="default"/>
      </w:rPr>
    </w:lvl>
    <w:lvl w:ilvl="5" w:tplc="058AD218">
      <w:start w:val="1"/>
      <w:numFmt w:val="bullet"/>
      <w:lvlText w:val=""/>
      <w:lvlJc w:val="left"/>
      <w:pPr>
        <w:ind w:left="4320" w:hanging="360"/>
      </w:pPr>
      <w:rPr>
        <w:rFonts w:ascii="Wingdings" w:hAnsi="Wingdings" w:hint="default"/>
      </w:rPr>
    </w:lvl>
    <w:lvl w:ilvl="6" w:tplc="8634DB24">
      <w:start w:val="1"/>
      <w:numFmt w:val="bullet"/>
      <w:lvlText w:val=""/>
      <w:lvlJc w:val="left"/>
      <w:pPr>
        <w:ind w:left="5040" w:hanging="360"/>
      </w:pPr>
      <w:rPr>
        <w:rFonts w:ascii="Symbol" w:hAnsi="Symbol" w:hint="default"/>
      </w:rPr>
    </w:lvl>
    <w:lvl w:ilvl="7" w:tplc="711245B2">
      <w:start w:val="1"/>
      <w:numFmt w:val="bullet"/>
      <w:lvlText w:val="o"/>
      <w:lvlJc w:val="left"/>
      <w:pPr>
        <w:ind w:left="5760" w:hanging="360"/>
      </w:pPr>
      <w:rPr>
        <w:rFonts w:ascii="Courier New" w:hAnsi="Courier New" w:hint="default"/>
      </w:rPr>
    </w:lvl>
    <w:lvl w:ilvl="8" w:tplc="375419A0">
      <w:start w:val="1"/>
      <w:numFmt w:val="bullet"/>
      <w:lvlText w:val=""/>
      <w:lvlJc w:val="left"/>
      <w:pPr>
        <w:ind w:left="6480" w:hanging="360"/>
      </w:pPr>
      <w:rPr>
        <w:rFonts w:ascii="Wingdings" w:hAnsi="Wingdings" w:hint="default"/>
      </w:rPr>
    </w:lvl>
  </w:abstractNum>
  <w:abstractNum w:abstractNumId="41" w15:restartNumberingAfterBreak="0">
    <w:nsid w:val="70DC9511"/>
    <w:multiLevelType w:val="hybridMultilevel"/>
    <w:tmpl w:val="FFFFFFFF"/>
    <w:lvl w:ilvl="0" w:tplc="596CEE8A">
      <w:start w:val="1"/>
      <w:numFmt w:val="bullet"/>
      <w:lvlText w:val=""/>
      <w:lvlJc w:val="left"/>
      <w:pPr>
        <w:ind w:left="720" w:hanging="360"/>
      </w:pPr>
      <w:rPr>
        <w:rFonts w:ascii="Symbol" w:hAnsi="Symbol" w:hint="default"/>
      </w:rPr>
    </w:lvl>
    <w:lvl w:ilvl="1" w:tplc="D152ACCE">
      <w:start w:val="1"/>
      <w:numFmt w:val="bullet"/>
      <w:lvlText w:val=""/>
      <w:lvlJc w:val="left"/>
      <w:pPr>
        <w:ind w:left="1440" w:hanging="360"/>
      </w:pPr>
      <w:rPr>
        <w:rFonts w:ascii="Symbol" w:hAnsi="Symbol" w:hint="default"/>
      </w:rPr>
    </w:lvl>
    <w:lvl w:ilvl="2" w:tplc="007CDD3C">
      <w:start w:val="1"/>
      <w:numFmt w:val="bullet"/>
      <w:lvlText w:val=""/>
      <w:lvlJc w:val="left"/>
      <w:pPr>
        <w:ind w:left="2160" w:hanging="360"/>
      </w:pPr>
      <w:rPr>
        <w:rFonts w:ascii="Wingdings" w:hAnsi="Wingdings" w:hint="default"/>
      </w:rPr>
    </w:lvl>
    <w:lvl w:ilvl="3" w:tplc="F552F204">
      <w:start w:val="1"/>
      <w:numFmt w:val="bullet"/>
      <w:lvlText w:val=""/>
      <w:lvlJc w:val="left"/>
      <w:pPr>
        <w:ind w:left="2880" w:hanging="360"/>
      </w:pPr>
      <w:rPr>
        <w:rFonts w:ascii="Symbol" w:hAnsi="Symbol" w:hint="default"/>
      </w:rPr>
    </w:lvl>
    <w:lvl w:ilvl="4" w:tplc="2D323B42">
      <w:start w:val="1"/>
      <w:numFmt w:val="bullet"/>
      <w:lvlText w:val="o"/>
      <w:lvlJc w:val="left"/>
      <w:pPr>
        <w:ind w:left="3600" w:hanging="360"/>
      </w:pPr>
      <w:rPr>
        <w:rFonts w:ascii="Courier New" w:hAnsi="Courier New" w:hint="default"/>
      </w:rPr>
    </w:lvl>
    <w:lvl w:ilvl="5" w:tplc="CDCC9816">
      <w:start w:val="1"/>
      <w:numFmt w:val="bullet"/>
      <w:lvlText w:val=""/>
      <w:lvlJc w:val="left"/>
      <w:pPr>
        <w:ind w:left="4320" w:hanging="360"/>
      </w:pPr>
      <w:rPr>
        <w:rFonts w:ascii="Wingdings" w:hAnsi="Wingdings" w:hint="default"/>
      </w:rPr>
    </w:lvl>
    <w:lvl w:ilvl="6" w:tplc="27B24D64">
      <w:start w:val="1"/>
      <w:numFmt w:val="bullet"/>
      <w:lvlText w:val=""/>
      <w:lvlJc w:val="left"/>
      <w:pPr>
        <w:ind w:left="5040" w:hanging="360"/>
      </w:pPr>
      <w:rPr>
        <w:rFonts w:ascii="Symbol" w:hAnsi="Symbol" w:hint="default"/>
      </w:rPr>
    </w:lvl>
    <w:lvl w:ilvl="7" w:tplc="5706E752">
      <w:start w:val="1"/>
      <w:numFmt w:val="bullet"/>
      <w:lvlText w:val="o"/>
      <w:lvlJc w:val="left"/>
      <w:pPr>
        <w:ind w:left="5760" w:hanging="360"/>
      </w:pPr>
      <w:rPr>
        <w:rFonts w:ascii="Courier New" w:hAnsi="Courier New" w:hint="default"/>
      </w:rPr>
    </w:lvl>
    <w:lvl w:ilvl="8" w:tplc="E5E28E24">
      <w:start w:val="1"/>
      <w:numFmt w:val="bullet"/>
      <w:lvlText w:val=""/>
      <w:lvlJc w:val="left"/>
      <w:pPr>
        <w:ind w:left="6480" w:hanging="360"/>
      </w:pPr>
      <w:rPr>
        <w:rFonts w:ascii="Wingdings" w:hAnsi="Wingdings" w:hint="default"/>
      </w:rPr>
    </w:lvl>
  </w:abstractNum>
  <w:abstractNum w:abstractNumId="42" w15:restartNumberingAfterBreak="0">
    <w:nsid w:val="70F66638"/>
    <w:multiLevelType w:val="hybridMultilevel"/>
    <w:tmpl w:val="9796E84E"/>
    <w:lvl w:ilvl="0" w:tplc="B7AA9CD4">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43" w15:restartNumberingAfterBreak="0">
    <w:nsid w:val="71632D33"/>
    <w:multiLevelType w:val="hybridMultilevel"/>
    <w:tmpl w:val="0456D914"/>
    <w:lvl w:ilvl="0" w:tplc="0C0A0003">
      <w:start w:val="1"/>
      <w:numFmt w:val="bullet"/>
      <w:lvlText w:val="o"/>
      <w:lvlJc w:val="left"/>
      <w:pPr>
        <w:ind w:left="1068" w:hanging="360"/>
      </w:pPr>
      <w:rPr>
        <w:rFonts w:ascii="Courier New" w:hAnsi="Courier New" w:cs="Courier New"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44" w15:restartNumberingAfterBreak="0">
    <w:nsid w:val="757DF6BD"/>
    <w:multiLevelType w:val="hybridMultilevel"/>
    <w:tmpl w:val="FFFFFFFF"/>
    <w:lvl w:ilvl="0" w:tplc="B3A66F52">
      <w:start w:val="1"/>
      <w:numFmt w:val="bullet"/>
      <w:lvlText w:val=""/>
      <w:lvlJc w:val="left"/>
      <w:pPr>
        <w:ind w:left="720" w:hanging="360"/>
      </w:pPr>
      <w:rPr>
        <w:rFonts w:ascii="Symbol" w:hAnsi="Symbol" w:hint="default"/>
      </w:rPr>
    </w:lvl>
    <w:lvl w:ilvl="1" w:tplc="2BA8497C">
      <w:start w:val="1"/>
      <w:numFmt w:val="bullet"/>
      <w:lvlText w:val=""/>
      <w:lvlJc w:val="left"/>
      <w:pPr>
        <w:ind w:left="1440" w:hanging="360"/>
      </w:pPr>
      <w:rPr>
        <w:rFonts w:ascii="Symbol" w:hAnsi="Symbol" w:hint="default"/>
      </w:rPr>
    </w:lvl>
    <w:lvl w:ilvl="2" w:tplc="899A5666">
      <w:start w:val="1"/>
      <w:numFmt w:val="bullet"/>
      <w:lvlText w:val=""/>
      <w:lvlJc w:val="left"/>
      <w:pPr>
        <w:ind w:left="2160" w:hanging="360"/>
      </w:pPr>
      <w:rPr>
        <w:rFonts w:ascii="Wingdings" w:hAnsi="Wingdings" w:hint="default"/>
      </w:rPr>
    </w:lvl>
    <w:lvl w:ilvl="3" w:tplc="1FFA296E">
      <w:start w:val="1"/>
      <w:numFmt w:val="bullet"/>
      <w:lvlText w:val=""/>
      <w:lvlJc w:val="left"/>
      <w:pPr>
        <w:ind w:left="2880" w:hanging="360"/>
      </w:pPr>
      <w:rPr>
        <w:rFonts w:ascii="Symbol" w:hAnsi="Symbol" w:hint="default"/>
      </w:rPr>
    </w:lvl>
    <w:lvl w:ilvl="4" w:tplc="A6BE3D12">
      <w:start w:val="1"/>
      <w:numFmt w:val="bullet"/>
      <w:lvlText w:val="o"/>
      <w:lvlJc w:val="left"/>
      <w:pPr>
        <w:ind w:left="3600" w:hanging="360"/>
      </w:pPr>
      <w:rPr>
        <w:rFonts w:ascii="Courier New" w:hAnsi="Courier New" w:hint="default"/>
      </w:rPr>
    </w:lvl>
    <w:lvl w:ilvl="5" w:tplc="52FAD688">
      <w:start w:val="1"/>
      <w:numFmt w:val="bullet"/>
      <w:lvlText w:val=""/>
      <w:lvlJc w:val="left"/>
      <w:pPr>
        <w:ind w:left="4320" w:hanging="360"/>
      </w:pPr>
      <w:rPr>
        <w:rFonts w:ascii="Wingdings" w:hAnsi="Wingdings" w:hint="default"/>
      </w:rPr>
    </w:lvl>
    <w:lvl w:ilvl="6" w:tplc="C5C0FE8C">
      <w:start w:val="1"/>
      <w:numFmt w:val="bullet"/>
      <w:lvlText w:val=""/>
      <w:lvlJc w:val="left"/>
      <w:pPr>
        <w:ind w:left="5040" w:hanging="360"/>
      </w:pPr>
      <w:rPr>
        <w:rFonts w:ascii="Symbol" w:hAnsi="Symbol" w:hint="default"/>
      </w:rPr>
    </w:lvl>
    <w:lvl w:ilvl="7" w:tplc="0B146402">
      <w:start w:val="1"/>
      <w:numFmt w:val="bullet"/>
      <w:lvlText w:val="o"/>
      <w:lvlJc w:val="left"/>
      <w:pPr>
        <w:ind w:left="5760" w:hanging="360"/>
      </w:pPr>
      <w:rPr>
        <w:rFonts w:ascii="Courier New" w:hAnsi="Courier New" w:hint="default"/>
      </w:rPr>
    </w:lvl>
    <w:lvl w:ilvl="8" w:tplc="11F8C00E">
      <w:start w:val="1"/>
      <w:numFmt w:val="bullet"/>
      <w:lvlText w:val=""/>
      <w:lvlJc w:val="left"/>
      <w:pPr>
        <w:ind w:left="6480" w:hanging="360"/>
      </w:pPr>
      <w:rPr>
        <w:rFonts w:ascii="Wingdings" w:hAnsi="Wingdings" w:hint="default"/>
      </w:rPr>
    </w:lvl>
  </w:abstractNum>
  <w:abstractNum w:abstractNumId="45" w15:restartNumberingAfterBreak="0">
    <w:nsid w:val="79180003"/>
    <w:multiLevelType w:val="hybridMultilevel"/>
    <w:tmpl w:val="FFFFFFFF"/>
    <w:lvl w:ilvl="0" w:tplc="39223B76">
      <w:start w:val="1"/>
      <w:numFmt w:val="bullet"/>
      <w:lvlText w:val=""/>
      <w:lvlJc w:val="left"/>
      <w:pPr>
        <w:ind w:left="720" w:hanging="360"/>
      </w:pPr>
      <w:rPr>
        <w:rFonts w:ascii="Wingdings" w:hAnsi="Wingdings" w:hint="default"/>
      </w:rPr>
    </w:lvl>
    <w:lvl w:ilvl="1" w:tplc="70AE3730">
      <w:start w:val="1"/>
      <w:numFmt w:val="bullet"/>
      <w:lvlText w:val="o"/>
      <w:lvlJc w:val="left"/>
      <w:pPr>
        <w:ind w:left="1440" w:hanging="360"/>
      </w:pPr>
      <w:rPr>
        <w:rFonts w:ascii="Courier New" w:hAnsi="Courier New" w:hint="default"/>
      </w:rPr>
    </w:lvl>
    <w:lvl w:ilvl="2" w:tplc="7A8E3E22">
      <w:start w:val="1"/>
      <w:numFmt w:val="bullet"/>
      <w:lvlText w:val=""/>
      <w:lvlJc w:val="left"/>
      <w:pPr>
        <w:ind w:left="2160" w:hanging="360"/>
      </w:pPr>
      <w:rPr>
        <w:rFonts w:ascii="Wingdings" w:hAnsi="Wingdings" w:hint="default"/>
      </w:rPr>
    </w:lvl>
    <w:lvl w:ilvl="3" w:tplc="EAFA3222">
      <w:start w:val="1"/>
      <w:numFmt w:val="bullet"/>
      <w:lvlText w:val=""/>
      <w:lvlJc w:val="left"/>
      <w:pPr>
        <w:ind w:left="2880" w:hanging="360"/>
      </w:pPr>
      <w:rPr>
        <w:rFonts w:ascii="Symbol" w:hAnsi="Symbol" w:hint="default"/>
      </w:rPr>
    </w:lvl>
    <w:lvl w:ilvl="4" w:tplc="8AFEA9F0">
      <w:start w:val="1"/>
      <w:numFmt w:val="bullet"/>
      <w:lvlText w:val="o"/>
      <w:lvlJc w:val="left"/>
      <w:pPr>
        <w:ind w:left="3600" w:hanging="360"/>
      </w:pPr>
      <w:rPr>
        <w:rFonts w:ascii="Courier New" w:hAnsi="Courier New" w:hint="default"/>
      </w:rPr>
    </w:lvl>
    <w:lvl w:ilvl="5" w:tplc="0D1E7B32">
      <w:start w:val="1"/>
      <w:numFmt w:val="bullet"/>
      <w:lvlText w:val=""/>
      <w:lvlJc w:val="left"/>
      <w:pPr>
        <w:ind w:left="4320" w:hanging="360"/>
      </w:pPr>
      <w:rPr>
        <w:rFonts w:ascii="Wingdings" w:hAnsi="Wingdings" w:hint="default"/>
      </w:rPr>
    </w:lvl>
    <w:lvl w:ilvl="6" w:tplc="C0AC03F8">
      <w:start w:val="1"/>
      <w:numFmt w:val="bullet"/>
      <w:lvlText w:val=""/>
      <w:lvlJc w:val="left"/>
      <w:pPr>
        <w:ind w:left="5040" w:hanging="360"/>
      </w:pPr>
      <w:rPr>
        <w:rFonts w:ascii="Symbol" w:hAnsi="Symbol" w:hint="default"/>
      </w:rPr>
    </w:lvl>
    <w:lvl w:ilvl="7" w:tplc="B14414A4">
      <w:start w:val="1"/>
      <w:numFmt w:val="bullet"/>
      <w:lvlText w:val="o"/>
      <w:lvlJc w:val="left"/>
      <w:pPr>
        <w:ind w:left="5760" w:hanging="360"/>
      </w:pPr>
      <w:rPr>
        <w:rFonts w:ascii="Courier New" w:hAnsi="Courier New" w:hint="default"/>
      </w:rPr>
    </w:lvl>
    <w:lvl w:ilvl="8" w:tplc="3C923488">
      <w:start w:val="1"/>
      <w:numFmt w:val="bullet"/>
      <w:lvlText w:val=""/>
      <w:lvlJc w:val="left"/>
      <w:pPr>
        <w:ind w:left="6480" w:hanging="360"/>
      </w:pPr>
      <w:rPr>
        <w:rFonts w:ascii="Wingdings" w:hAnsi="Wingdings" w:hint="default"/>
      </w:rPr>
    </w:lvl>
  </w:abstractNum>
  <w:abstractNum w:abstractNumId="46" w15:restartNumberingAfterBreak="0">
    <w:nsid w:val="7B997A2A"/>
    <w:multiLevelType w:val="hybridMultilevel"/>
    <w:tmpl w:val="FFFFFFFF"/>
    <w:lvl w:ilvl="0" w:tplc="CE7276F0">
      <w:start w:val="1"/>
      <w:numFmt w:val="bullet"/>
      <w:lvlText w:val=""/>
      <w:lvlJc w:val="left"/>
      <w:pPr>
        <w:ind w:left="720" w:hanging="360"/>
      </w:pPr>
      <w:rPr>
        <w:rFonts w:ascii="Wingdings" w:hAnsi="Wingdings" w:hint="default"/>
      </w:rPr>
    </w:lvl>
    <w:lvl w:ilvl="1" w:tplc="5470ADB6">
      <w:start w:val="1"/>
      <w:numFmt w:val="bullet"/>
      <w:lvlText w:val="o"/>
      <w:lvlJc w:val="left"/>
      <w:pPr>
        <w:ind w:left="1440" w:hanging="360"/>
      </w:pPr>
      <w:rPr>
        <w:rFonts w:ascii="Courier New" w:hAnsi="Courier New" w:hint="default"/>
      </w:rPr>
    </w:lvl>
    <w:lvl w:ilvl="2" w:tplc="9A8094D2">
      <w:start w:val="1"/>
      <w:numFmt w:val="bullet"/>
      <w:lvlText w:val=""/>
      <w:lvlJc w:val="left"/>
      <w:pPr>
        <w:ind w:left="2160" w:hanging="360"/>
      </w:pPr>
      <w:rPr>
        <w:rFonts w:ascii="Wingdings" w:hAnsi="Wingdings" w:hint="default"/>
      </w:rPr>
    </w:lvl>
    <w:lvl w:ilvl="3" w:tplc="9F668718">
      <w:start w:val="1"/>
      <w:numFmt w:val="bullet"/>
      <w:lvlText w:val=""/>
      <w:lvlJc w:val="left"/>
      <w:pPr>
        <w:ind w:left="2880" w:hanging="360"/>
      </w:pPr>
      <w:rPr>
        <w:rFonts w:ascii="Symbol" w:hAnsi="Symbol" w:hint="default"/>
      </w:rPr>
    </w:lvl>
    <w:lvl w:ilvl="4" w:tplc="1B4228FE">
      <w:start w:val="1"/>
      <w:numFmt w:val="bullet"/>
      <w:lvlText w:val="o"/>
      <w:lvlJc w:val="left"/>
      <w:pPr>
        <w:ind w:left="3600" w:hanging="360"/>
      </w:pPr>
      <w:rPr>
        <w:rFonts w:ascii="Courier New" w:hAnsi="Courier New" w:hint="default"/>
      </w:rPr>
    </w:lvl>
    <w:lvl w:ilvl="5" w:tplc="E0A6E654">
      <w:start w:val="1"/>
      <w:numFmt w:val="bullet"/>
      <w:lvlText w:val=""/>
      <w:lvlJc w:val="left"/>
      <w:pPr>
        <w:ind w:left="4320" w:hanging="360"/>
      </w:pPr>
      <w:rPr>
        <w:rFonts w:ascii="Wingdings" w:hAnsi="Wingdings" w:hint="default"/>
      </w:rPr>
    </w:lvl>
    <w:lvl w:ilvl="6" w:tplc="E04096AA">
      <w:start w:val="1"/>
      <w:numFmt w:val="bullet"/>
      <w:lvlText w:val=""/>
      <w:lvlJc w:val="left"/>
      <w:pPr>
        <w:ind w:left="5040" w:hanging="360"/>
      </w:pPr>
      <w:rPr>
        <w:rFonts w:ascii="Symbol" w:hAnsi="Symbol" w:hint="default"/>
      </w:rPr>
    </w:lvl>
    <w:lvl w:ilvl="7" w:tplc="5B70679E">
      <w:start w:val="1"/>
      <w:numFmt w:val="bullet"/>
      <w:lvlText w:val="o"/>
      <w:lvlJc w:val="left"/>
      <w:pPr>
        <w:ind w:left="5760" w:hanging="360"/>
      </w:pPr>
      <w:rPr>
        <w:rFonts w:ascii="Courier New" w:hAnsi="Courier New" w:hint="default"/>
      </w:rPr>
    </w:lvl>
    <w:lvl w:ilvl="8" w:tplc="7F3EFBA0">
      <w:start w:val="1"/>
      <w:numFmt w:val="bullet"/>
      <w:lvlText w:val=""/>
      <w:lvlJc w:val="left"/>
      <w:pPr>
        <w:ind w:left="6480" w:hanging="360"/>
      </w:pPr>
      <w:rPr>
        <w:rFonts w:ascii="Wingdings" w:hAnsi="Wingdings" w:hint="default"/>
      </w:rPr>
    </w:lvl>
  </w:abstractNum>
  <w:abstractNum w:abstractNumId="47" w15:restartNumberingAfterBreak="0">
    <w:nsid w:val="7C983853"/>
    <w:multiLevelType w:val="hybridMultilevel"/>
    <w:tmpl w:val="8CFAEBE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8" w15:restartNumberingAfterBreak="0">
    <w:nsid w:val="7CC78FB6"/>
    <w:multiLevelType w:val="hybridMultilevel"/>
    <w:tmpl w:val="FFFFFFFF"/>
    <w:lvl w:ilvl="0" w:tplc="43AA5C16">
      <w:start w:val="1"/>
      <w:numFmt w:val="bullet"/>
      <w:lvlText w:val=""/>
      <w:lvlJc w:val="left"/>
      <w:pPr>
        <w:ind w:left="720" w:hanging="360"/>
      </w:pPr>
      <w:rPr>
        <w:rFonts w:ascii="Symbol" w:hAnsi="Symbol" w:hint="default"/>
      </w:rPr>
    </w:lvl>
    <w:lvl w:ilvl="1" w:tplc="536225BE">
      <w:start w:val="1"/>
      <w:numFmt w:val="bullet"/>
      <w:lvlText w:val="o"/>
      <w:lvlJc w:val="left"/>
      <w:pPr>
        <w:ind w:left="1440" w:hanging="360"/>
      </w:pPr>
      <w:rPr>
        <w:rFonts w:ascii="Courier New" w:hAnsi="Courier New" w:hint="default"/>
      </w:rPr>
    </w:lvl>
    <w:lvl w:ilvl="2" w:tplc="480A0602">
      <w:start w:val="1"/>
      <w:numFmt w:val="bullet"/>
      <w:lvlText w:val=""/>
      <w:lvlJc w:val="left"/>
      <w:pPr>
        <w:ind w:left="2160" w:hanging="360"/>
      </w:pPr>
      <w:rPr>
        <w:rFonts w:ascii="Wingdings" w:hAnsi="Wingdings" w:hint="default"/>
      </w:rPr>
    </w:lvl>
    <w:lvl w:ilvl="3" w:tplc="CB6EB4D6">
      <w:start w:val="1"/>
      <w:numFmt w:val="bullet"/>
      <w:lvlText w:val=""/>
      <w:lvlJc w:val="left"/>
      <w:pPr>
        <w:ind w:left="2880" w:hanging="360"/>
      </w:pPr>
      <w:rPr>
        <w:rFonts w:ascii="Symbol" w:hAnsi="Symbol" w:hint="default"/>
      </w:rPr>
    </w:lvl>
    <w:lvl w:ilvl="4" w:tplc="249AB292">
      <w:start w:val="1"/>
      <w:numFmt w:val="bullet"/>
      <w:lvlText w:val="o"/>
      <w:lvlJc w:val="left"/>
      <w:pPr>
        <w:ind w:left="3600" w:hanging="360"/>
      </w:pPr>
      <w:rPr>
        <w:rFonts w:ascii="Courier New" w:hAnsi="Courier New" w:hint="default"/>
      </w:rPr>
    </w:lvl>
    <w:lvl w:ilvl="5" w:tplc="04686A90">
      <w:start w:val="1"/>
      <w:numFmt w:val="bullet"/>
      <w:lvlText w:val=""/>
      <w:lvlJc w:val="left"/>
      <w:pPr>
        <w:ind w:left="4320" w:hanging="360"/>
      </w:pPr>
      <w:rPr>
        <w:rFonts w:ascii="Wingdings" w:hAnsi="Wingdings" w:hint="default"/>
      </w:rPr>
    </w:lvl>
    <w:lvl w:ilvl="6" w:tplc="6F8EF3F6">
      <w:start w:val="1"/>
      <w:numFmt w:val="bullet"/>
      <w:lvlText w:val=""/>
      <w:lvlJc w:val="left"/>
      <w:pPr>
        <w:ind w:left="5040" w:hanging="360"/>
      </w:pPr>
      <w:rPr>
        <w:rFonts w:ascii="Symbol" w:hAnsi="Symbol" w:hint="default"/>
      </w:rPr>
    </w:lvl>
    <w:lvl w:ilvl="7" w:tplc="E144B0B2">
      <w:start w:val="1"/>
      <w:numFmt w:val="bullet"/>
      <w:lvlText w:val="o"/>
      <w:lvlJc w:val="left"/>
      <w:pPr>
        <w:ind w:left="5760" w:hanging="360"/>
      </w:pPr>
      <w:rPr>
        <w:rFonts w:ascii="Courier New" w:hAnsi="Courier New" w:hint="default"/>
      </w:rPr>
    </w:lvl>
    <w:lvl w:ilvl="8" w:tplc="3BE887F2">
      <w:start w:val="1"/>
      <w:numFmt w:val="bullet"/>
      <w:lvlText w:val=""/>
      <w:lvlJc w:val="left"/>
      <w:pPr>
        <w:ind w:left="6480" w:hanging="360"/>
      </w:pPr>
      <w:rPr>
        <w:rFonts w:ascii="Wingdings" w:hAnsi="Wingdings" w:hint="default"/>
      </w:rPr>
    </w:lvl>
  </w:abstractNum>
  <w:num w:numId="1" w16cid:durableId="78721762">
    <w:abstractNumId w:val="22"/>
  </w:num>
  <w:num w:numId="2" w16cid:durableId="98456680">
    <w:abstractNumId w:val="24"/>
  </w:num>
  <w:num w:numId="3" w16cid:durableId="663552392">
    <w:abstractNumId w:val="40"/>
  </w:num>
  <w:num w:numId="4" w16cid:durableId="777407357">
    <w:abstractNumId w:val="8"/>
  </w:num>
  <w:num w:numId="5" w16cid:durableId="1126193644">
    <w:abstractNumId w:val="27"/>
  </w:num>
  <w:num w:numId="6" w16cid:durableId="751438265">
    <w:abstractNumId w:val="9"/>
  </w:num>
  <w:num w:numId="7" w16cid:durableId="1449467937">
    <w:abstractNumId w:val="28"/>
  </w:num>
  <w:num w:numId="8" w16cid:durableId="1093278982">
    <w:abstractNumId w:val="46"/>
  </w:num>
  <w:num w:numId="9" w16cid:durableId="993490939">
    <w:abstractNumId w:val="15"/>
  </w:num>
  <w:num w:numId="10" w16cid:durableId="317265737">
    <w:abstractNumId w:val="2"/>
  </w:num>
  <w:num w:numId="11" w16cid:durableId="2082630178">
    <w:abstractNumId w:val="21"/>
  </w:num>
  <w:num w:numId="12" w16cid:durableId="1739136360">
    <w:abstractNumId w:val="45"/>
  </w:num>
  <w:num w:numId="13" w16cid:durableId="2099713456">
    <w:abstractNumId w:val="41"/>
  </w:num>
  <w:num w:numId="14" w16cid:durableId="1506869307">
    <w:abstractNumId w:val="20"/>
  </w:num>
  <w:num w:numId="15" w16cid:durableId="1897543686">
    <w:abstractNumId w:val="10"/>
  </w:num>
  <w:num w:numId="16" w16cid:durableId="996148192">
    <w:abstractNumId w:val="19"/>
  </w:num>
  <w:num w:numId="17" w16cid:durableId="763459714">
    <w:abstractNumId w:val="37"/>
  </w:num>
  <w:num w:numId="18" w16cid:durableId="1974559575">
    <w:abstractNumId w:val="47"/>
  </w:num>
  <w:num w:numId="19" w16cid:durableId="1606379821">
    <w:abstractNumId w:val="11"/>
  </w:num>
  <w:num w:numId="20" w16cid:durableId="824861350">
    <w:abstractNumId w:val="38"/>
  </w:num>
  <w:num w:numId="21" w16cid:durableId="1289974092">
    <w:abstractNumId w:val="12"/>
  </w:num>
  <w:num w:numId="22" w16cid:durableId="963779610">
    <w:abstractNumId w:val="39"/>
  </w:num>
  <w:num w:numId="23" w16cid:durableId="916357069">
    <w:abstractNumId w:val="34"/>
  </w:num>
  <w:num w:numId="24" w16cid:durableId="535313831">
    <w:abstractNumId w:val="42"/>
  </w:num>
  <w:num w:numId="25" w16cid:durableId="1270620230">
    <w:abstractNumId w:val="36"/>
  </w:num>
  <w:num w:numId="26" w16cid:durableId="1895384719">
    <w:abstractNumId w:val="18"/>
  </w:num>
  <w:num w:numId="27" w16cid:durableId="1967463324">
    <w:abstractNumId w:val="29"/>
  </w:num>
  <w:num w:numId="28" w16cid:durableId="962728536">
    <w:abstractNumId w:val="4"/>
  </w:num>
  <w:num w:numId="29" w16cid:durableId="1744713666">
    <w:abstractNumId w:val="48"/>
  </w:num>
  <w:num w:numId="30" w16cid:durableId="1049568553">
    <w:abstractNumId w:val="44"/>
  </w:num>
  <w:num w:numId="31" w16cid:durableId="1173102426">
    <w:abstractNumId w:val="30"/>
  </w:num>
  <w:num w:numId="32" w16cid:durableId="1843397539">
    <w:abstractNumId w:val="7"/>
  </w:num>
  <w:num w:numId="33" w16cid:durableId="1081098801">
    <w:abstractNumId w:val="17"/>
  </w:num>
  <w:num w:numId="34" w16cid:durableId="380518222">
    <w:abstractNumId w:val="5"/>
  </w:num>
  <w:num w:numId="35" w16cid:durableId="1131049933">
    <w:abstractNumId w:val="13"/>
  </w:num>
  <w:num w:numId="36" w16cid:durableId="1522474945">
    <w:abstractNumId w:val="35"/>
  </w:num>
  <w:num w:numId="37" w16cid:durableId="1543710364">
    <w:abstractNumId w:val="3"/>
  </w:num>
  <w:num w:numId="38" w16cid:durableId="1825320540">
    <w:abstractNumId w:val="23"/>
  </w:num>
  <w:num w:numId="39" w16cid:durableId="1031345961">
    <w:abstractNumId w:val="31"/>
  </w:num>
  <w:num w:numId="40" w16cid:durableId="1451557055">
    <w:abstractNumId w:val="43"/>
  </w:num>
  <w:num w:numId="41" w16cid:durableId="1049693413">
    <w:abstractNumId w:val="14"/>
  </w:num>
  <w:num w:numId="42" w16cid:durableId="1629432518">
    <w:abstractNumId w:val="32"/>
  </w:num>
  <w:num w:numId="43" w16cid:durableId="764152349">
    <w:abstractNumId w:val="33"/>
  </w:num>
  <w:num w:numId="44" w16cid:durableId="585308290">
    <w:abstractNumId w:val="25"/>
  </w:num>
  <w:num w:numId="45" w16cid:durableId="1927419082">
    <w:abstractNumId w:val="6"/>
  </w:num>
  <w:num w:numId="46" w16cid:durableId="982924150">
    <w:abstractNumId w:val="16"/>
  </w:num>
  <w:num w:numId="47" w16cid:durableId="1339236546">
    <w:abstractNumId w:val="26"/>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characterSpacingControl w:val="doNotCompress"/>
  <w:hdrShapeDefaults>
    <o:shapedefaults v:ext="edit" spidmax="2050">
      <o:colormru v:ext="edit" colors="#22483f,#c1ddd4,#5da18a,#9dc7b9,#002600,#022c28,#033f39,#044c3b"/>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54C4"/>
    <w:rsid w:val="000005D4"/>
    <w:rsid w:val="000005FA"/>
    <w:rsid w:val="000009F2"/>
    <w:rsid w:val="00000A3E"/>
    <w:rsid w:val="00000E35"/>
    <w:rsid w:val="00001520"/>
    <w:rsid w:val="000015FA"/>
    <w:rsid w:val="00001766"/>
    <w:rsid w:val="000018C5"/>
    <w:rsid w:val="00001905"/>
    <w:rsid w:val="00001951"/>
    <w:rsid w:val="00001B35"/>
    <w:rsid w:val="00001B93"/>
    <w:rsid w:val="00001DB2"/>
    <w:rsid w:val="00001E83"/>
    <w:rsid w:val="00001FA8"/>
    <w:rsid w:val="00002289"/>
    <w:rsid w:val="000023B0"/>
    <w:rsid w:val="000028BE"/>
    <w:rsid w:val="00002C5F"/>
    <w:rsid w:val="000034A5"/>
    <w:rsid w:val="000036F7"/>
    <w:rsid w:val="00003716"/>
    <w:rsid w:val="0000383D"/>
    <w:rsid w:val="00003F4E"/>
    <w:rsid w:val="0000441C"/>
    <w:rsid w:val="00004CB9"/>
    <w:rsid w:val="00004D7E"/>
    <w:rsid w:val="000050EA"/>
    <w:rsid w:val="000057F4"/>
    <w:rsid w:val="0000624D"/>
    <w:rsid w:val="000064EB"/>
    <w:rsid w:val="00006C8F"/>
    <w:rsid w:val="00006E2E"/>
    <w:rsid w:val="000077AD"/>
    <w:rsid w:val="00007CD5"/>
    <w:rsid w:val="00007EED"/>
    <w:rsid w:val="00010109"/>
    <w:rsid w:val="00010116"/>
    <w:rsid w:val="00010634"/>
    <w:rsid w:val="000109A7"/>
    <w:rsid w:val="00011304"/>
    <w:rsid w:val="0001164F"/>
    <w:rsid w:val="0001187F"/>
    <w:rsid w:val="00011E45"/>
    <w:rsid w:val="00011F5D"/>
    <w:rsid w:val="00012752"/>
    <w:rsid w:val="00012946"/>
    <w:rsid w:val="00012C15"/>
    <w:rsid w:val="00012F8A"/>
    <w:rsid w:val="000132B5"/>
    <w:rsid w:val="00013303"/>
    <w:rsid w:val="0001359C"/>
    <w:rsid w:val="0001360C"/>
    <w:rsid w:val="000138C1"/>
    <w:rsid w:val="00014067"/>
    <w:rsid w:val="000142CF"/>
    <w:rsid w:val="00014900"/>
    <w:rsid w:val="000149E6"/>
    <w:rsid w:val="0001507E"/>
    <w:rsid w:val="00015280"/>
    <w:rsid w:val="0001549A"/>
    <w:rsid w:val="00015AE6"/>
    <w:rsid w:val="00015EA5"/>
    <w:rsid w:val="000176DB"/>
    <w:rsid w:val="0001792B"/>
    <w:rsid w:val="00020D2E"/>
    <w:rsid w:val="00020E55"/>
    <w:rsid w:val="00021290"/>
    <w:rsid w:val="00021883"/>
    <w:rsid w:val="00021A89"/>
    <w:rsid w:val="00021D8F"/>
    <w:rsid w:val="000224DA"/>
    <w:rsid w:val="000225D6"/>
    <w:rsid w:val="00022602"/>
    <w:rsid w:val="00022A9D"/>
    <w:rsid w:val="00022D92"/>
    <w:rsid w:val="00023074"/>
    <w:rsid w:val="00023325"/>
    <w:rsid w:val="0002466E"/>
    <w:rsid w:val="00024D7A"/>
    <w:rsid w:val="000253BC"/>
    <w:rsid w:val="00025761"/>
    <w:rsid w:val="00025BE1"/>
    <w:rsid w:val="00025DAF"/>
    <w:rsid w:val="000265A5"/>
    <w:rsid w:val="000265E9"/>
    <w:rsid w:val="0002697A"/>
    <w:rsid w:val="000269B6"/>
    <w:rsid w:val="000269E9"/>
    <w:rsid w:val="00026B6E"/>
    <w:rsid w:val="00026EA6"/>
    <w:rsid w:val="0002753F"/>
    <w:rsid w:val="0002769F"/>
    <w:rsid w:val="00030261"/>
    <w:rsid w:val="00030534"/>
    <w:rsid w:val="00030566"/>
    <w:rsid w:val="00030D59"/>
    <w:rsid w:val="000313E1"/>
    <w:rsid w:val="00031563"/>
    <w:rsid w:val="000317F5"/>
    <w:rsid w:val="0003184B"/>
    <w:rsid w:val="000318F5"/>
    <w:rsid w:val="00031943"/>
    <w:rsid w:val="0003228E"/>
    <w:rsid w:val="00032355"/>
    <w:rsid w:val="000328A1"/>
    <w:rsid w:val="00032CAF"/>
    <w:rsid w:val="00032ED9"/>
    <w:rsid w:val="00033EC2"/>
    <w:rsid w:val="00033F1C"/>
    <w:rsid w:val="0003421C"/>
    <w:rsid w:val="0003431F"/>
    <w:rsid w:val="00034364"/>
    <w:rsid w:val="0003520C"/>
    <w:rsid w:val="000355F3"/>
    <w:rsid w:val="000359B6"/>
    <w:rsid w:val="00035AE4"/>
    <w:rsid w:val="00035CF2"/>
    <w:rsid w:val="00035E2D"/>
    <w:rsid w:val="00036201"/>
    <w:rsid w:val="00036437"/>
    <w:rsid w:val="00036548"/>
    <w:rsid w:val="000365BC"/>
    <w:rsid w:val="000366EC"/>
    <w:rsid w:val="000367BD"/>
    <w:rsid w:val="000369AA"/>
    <w:rsid w:val="00036A36"/>
    <w:rsid w:val="00036BC3"/>
    <w:rsid w:val="00036BE1"/>
    <w:rsid w:val="00036C94"/>
    <w:rsid w:val="00036D5A"/>
    <w:rsid w:val="00037566"/>
    <w:rsid w:val="00037CE6"/>
    <w:rsid w:val="0004050D"/>
    <w:rsid w:val="00040E07"/>
    <w:rsid w:val="00041113"/>
    <w:rsid w:val="00041271"/>
    <w:rsid w:val="00041F17"/>
    <w:rsid w:val="00042D90"/>
    <w:rsid w:val="00042DF4"/>
    <w:rsid w:val="00042E69"/>
    <w:rsid w:val="00043547"/>
    <w:rsid w:val="0004362E"/>
    <w:rsid w:val="00043928"/>
    <w:rsid w:val="00043AE3"/>
    <w:rsid w:val="00043D6D"/>
    <w:rsid w:val="00044916"/>
    <w:rsid w:val="00044E91"/>
    <w:rsid w:val="000455DC"/>
    <w:rsid w:val="00045B53"/>
    <w:rsid w:val="00045D25"/>
    <w:rsid w:val="00047062"/>
    <w:rsid w:val="0004711F"/>
    <w:rsid w:val="00050069"/>
    <w:rsid w:val="0005065B"/>
    <w:rsid w:val="0005073B"/>
    <w:rsid w:val="00050EF8"/>
    <w:rsid w:val="00051399"/>
    <w:rsid w:val="00051402"/>
    <w:rsid w:val="00051A1D"/>
    <w:rsid w:val="0005222F"/>
    <w:rsid w:val="000524B9"/>
    <w:rsid w:val="0005254E"/>
    <w:rsid w:val="0005276C"/>
    <w:rsid w:val="000528C3"/>
    <w:rsid w:val="000529F5"/>
    <w:rsid w:val="00052B0B"/>
    <w:rsid w:val="00053C2E"/>
    <w:rsid w:val="00053E86"/>
    <w:rsid w:val="0005428B"/>
    <w:rsid w:val="000548CE"/>
    <w:rsid w:val="00054D2E"/>
    <w:rsid w:val="00054E1B"/>
    <w:rsid w:val="0005552C"/>
    <w:rsid w:val="0005568B"/>
    <w:rsid w:val="0005584B"/>
    <w:rsid w:val="000558BA"/>
    <w:rsid w:val="00055A31"/>
    <w:rsid w:val="00055C9D"/>
    <w:rsid w:val="00055E7E"/>
    <w:rsid w:val="000561AD"/>
    <w:rsid w:val="00056541"/>
    <w:rsid w:val="00056794"/>
    <w:rsid w:val="0005783C"/>
    <w:rsid w:val="00057AF3"/>
    <w:rsid w:val="0006011B"/>
    <w:rsid w:val="0006012A"/>
    <w:rsid w:val="00060329"/>
    <w:rsid w:val="00060CF2"/>
    <w:rsid w:val="00060CFE"/>
    <w:rsid w:val="000618E1"/>
    <w:rsid w:val="00061AFA"/>
    <w:rsid w:val="00062152"/>
    <w:rsid w:val="0006270B"/>
    <w:rsid w:val="0006301E"/>
    <w:rsid w:val="0006305E"/>
    <w:rsid w:val="00063164"/>
    <w:rsid w:val="000634A5"/>
    <w:rsid w:val="000639B2"/>
    <w:rsid w:val="00063BB3"/>
    <w:rsid w:val="000648C4"/>
    <w:rsid w:val="000648D0"/>
    <w:rsid w:val="00065459"/>
    <w:rsid w:val="00065656"/>
    <w:rsid w:val="00065B5D"/>
    <w:rsid w:val="00065BB4"/>
    <w:rsid w:val="00065FEB"/>
    <w:rsid w:val="0006611C"/>
    <w:rsid w:val="00066FCD"/>
    <w:rsid w:val="0006722F"/>
    <w:rsid w:val="000672D2"/>
    <w:rsid w:val="000675F1"/>
    <w:rsid w:val="00067B5D"/>
    <w:rsid w:val="0007009E"/>
    <w:rsid w:val="000702DD"/>
    <w:rsid w:val="00070535"/>
    <w:rsid w:val="00070615"/>
    <w:rsid w:val="0007132E"/>
    <w:rsid w:val="0007234B"/>
    <w:rsid w:val="000725C9"/>
    <w:rsid w:val="00072922"/>
    <w:rsid w:val="00072F4D"/>
    <w:rsid w:val="0007316C"/>
    <w:rsid w:val="00073279"/>
    <w:rsid w:val="00073A52"/>
    <w:rsid w:val="00074585"/>
    <w:rsid w:val="00074E23"/>
    <w:rsid w:val="00075797"/>
    <w:rsid w:val="00075826"/>
    <w:rsid w:val="000759B6"/>
    <w:rsid w:val="00075E16"/>
    <w:rsid w:val="00076956"/>
    <w:rsid w:val="00076B93"/>
    <w:rsid w:val="00077271"/>
    <w:rsid w:val="000775B9"/>
    <w:rsid w:val="00077BCC"/>
    <w:rsid w:val="00077E7E"/>
    <w:rsid w:val="00077F91"/>
    <w:rsid w:val="000804BD"/>
    <w:rsid w:val="0008081C"/>
    <w:rsid w:val="00080D1B"/>
    <w:rsid w:val="00080EB2"/>
    <w:rsid w:val="00080F3C"/>
    <w:rsid w:val="0008112D"/>
    <w:rsid w:val="00081182"/>
    <w:rsid w:val="00081EEC"/>
    <w:rsid w:val="00082104"/>
    <w:rsid w:val="00082414"/>
    <w:rsid w:val="00083359"/>
    <w:rsid w:val="00083365"/>
    <w:rsid w:val="00083638"/>
    <w:rsid w:val="000837E1"/>
    <w:rsid w:val="00084008"/>
    <w:rsid w:val="00084389"/>
    <w:rsid w:val="000847AA"/>
    <w:rsid w:val="00084B4B"/>
    <w:rsid w:val="00084D17"/>
    <w:rsid w:val="00084FCD"/>
    <w:rsid w:val="00085085"/>
    <w:rsid w:val="000852BC"/>
    <w:rsid w:val="000856C3"/>
    <w:rsid w:val="00085749"/>
    <w:rsid w:val="00085775"/>
    <w:rsid w:val="00085812"/>
    <w:rsid w:val="000868C2"/>
    <w:rsid w:val="00086B2E"/>
    <w:rsid w:val="00086C30"/>
    <w:rsid w:val="000874AB"/>
    <w:rsid w:val="000874F4"/>
    <w:rsid w:val="000876EB"/>
    <w:rsid w:val="00087766"/>
    <w:rsid w:val="00087EA3"/>
    <w:rsid w:val="00087EC4"/>
    <w:rsid w:val="00090240"/>
    <w:rsid w:val="00090CBA"/>
    <w:rsid w:val="00090F47"/>
    <w:rsid w:val="00091299"/>
    <w:rsid w:val="00092187"/>
    <w:rsid w:val="00092D24"/>
    <w:rsid w:val="00092EE7"/>
    <w:rsid w:val="000933E2"/>
    <w:rsid w:val="000938B4"/>
    <w:rsid w:val="00093AE3"/>
    <w:rsid w:val="00093F0B"/>
    <w:rsid w:val="00094033"/>
    <w:rsid w:val="00095551"/>
    <w:rsid w:val="000956FD"/>
    <w:rsid w:val="00095AD8"/>
    <w:rsid w:val="00095BE6"/>
    <w:rsid w:val="00095CCD"/>
    <w:rsid w:val="00095CED"/>
    <w:rsid w:val="00096B42"/>
    <w:rsid w:val="00096ED1"/>
    <w:rsid w:val="00097171"/>
    <w:rsid w:val="00097726"/>
    <w:rsid w:val="00097B7D"/>
    <w:rsid w:val="000A00A0"/>
    <w:rsid w:val="000A07D9"/>
    <w:rsid w:val="000A0B02"/>
    <w:rsid w:val="000A0F18"/>
    <w:rsid w:val="000A1140"/>
    <w:rsid w:val="000A1E25"/>
    <w:rsid w:val="000A1F34"/>
    <w:rsid w:val="000A2AFF"/>
    <w:rsid w:val="000A2BE0"/>
    <w:rsid w:val="000A3113"/>
    <w:rsid w:val="000A318C"/>
    <w:rsid w:val="000A34A2"/>
    <w:rsid w:val="000A3806"/>
    <w:rsid w:val="000A38F7"/>
    <w:rsid w:val="000A395B"/>
    <w:rsid w:val="000A3A19"/>
    <w:rsid w:val="000A3EB0"/>
    <w:rsid w:val="000A4007"/>
    <w:rsid w:val="000A4076"/>
    <w:rsid w:val="000A455F"/>
    <w:rsid w:val="000A493A"/>
    <w:rsid w:val="000A5D29"/>
    <w:rsid w:val="000A61A3"/>
    <w:rsid w:val="000A627F"/>
    <w:rsid w:val="000A65D4"/>
    <w:rsid w:val="000A6A1C"/>
    <w:rsid w:val="000A79CA"/>
    <w:rsid w:val="000A7CE0"/>
    <w:rsid w:val="000B0701"/>
    <w:rsid w:val="000B096D"/>
    <w:rsid w:val="000B0B1A"/>
    <w:rsid w:val="000B0E95"/>
    <w:rsid w:val="000B0FAB"/>
    <w:rsid w:val="000B105F"/>
    <w:rsid w:val="000B14ED"/>
    <w:rsid w:val="000B1743"/>
    <w:rsid w:val="000B1969"/>
    <w:rsid w:val="000B1B54"/>
    <w:rsid w:val="000B1C3E"/>
    <w:rsid w:val="000B1C94"/>
    <w:rsid w:val="000B209C"/>
    <w:rsid w:val="000B23D9"/>
    <w:rsid w:val="000B2C2E"/>
    <w:rsid w:val="000B358C"/>
    <w:rsid w:val="000B36D8"/>
    <w:rsid w:val="000B39A8"/>
    <w:rsid w:val="000B3B32"/>
    <w:rsid w:val="000B404F"/>
    <w:rsid w:val="000B4211"/>
    <w:rsid w:val="000B476B"/>
    <w:rsid w:val="000B4D3C"/>
    <w:rsid w:val="000B52F9"/>
    <w:rsid w:val="000B53C1"/>
    <w:rsid w:val="000B5CD5"/>
    <w:rsid w:val="000B6282"/>
    <w:rsid w:val="000B63F4"/>
    <w:rsid w:val="000B67BF"/>
    <w:rsid w:val="000B6898"/>
    <w:rsid w:val="000B6B83"/>
    <w:rsid w:val="000B6E6F"/>
    <w:rsid w:val="000B7268"/>
    <w:rsid w:val="000B72AF"/>
    <w:rsid w:val="000C0130"/>
    <w:rsid w:val="000C01B2"/>
    <w:rsid w:val="000C0437"/>
    <w:rsid w:val="000C0C64"/>
    <w:rsid w:val="000C0C72"/>
    <w:rsid w:val="000C0D3A"/>
    <w:rsid w:val="000C10C9"/>
    <w:rsid w:val="000C211C"/>
    <w:rsid w:val="000C2685"/>
    <w:rsid w:val="000C2BBD"/>
    <w:rsid w:val="000C307D"/>
    <w:rsid w:val="000C3494"/>
    <w:rsid w:val="000C3B72"/>
    <w:rsid w:val="000C50D6"/>
    <w:rsid w:val="000C528C"/>
    <w:rsid w:val="000C5909"/>
    <w:rsid w:val="000C5C29"/>
    <w:rsid w:val="000C622D"/>
    <w:rsid w:val="000C6606"/>
    <w:rsid w:val="000C6D08"/>
    <w:rsid w:val="000C6E25"/>
    <w:rsid w:val="000C6F58"/>
    <w:rsid w:val="000C713C"/>
    <w:rsid w:val="000D00E0"/>
    <w:rsid w:val="000D0201"/>
    <w:rsid w:val="000D035E"/>
    <w:rsid w:val="000D09BC"/>
    <w:rsid w:val="000D0C8D"/>
    <w:rsid w:val="000D0CDA"/>
    <w:rsid w:val="000D0F16"/>
    <w:rsid w:val="000D1A21"/>
    <w:rsid w:val="000D1B3B"/>
    <w:rsid w:val="000D2218"/>
    <w:rsid w:val="000D2485"/>
    <w:rsid w:val="000D27E0"/>
    <w:rsid w:val="000D2A46"/>
    <w:rsid w:val="000D2B3E"/>
    <w:rsid w:val="000D30AB"/>
    <w:rsid w:val="000D3297"/>
    <w:rsid w:val="000D32BB"/>
    <w:rsid w:val="000D3BCB"/>
    <w:rsid w:val="000D3D40"/>
    <w:rsid w:val="000D3EBB"/>
    <w:rsid w:val="000D4143"/>
    <w:rsid w:val="000D41E3"/>
    <w:rsid w:val="000D4230"/>
    <w:rsid w:val="000D4864"/>
    <w:rsid w:val="000D4A8A"/>
    <w:rsid w:val="000D4AE9"/>
    <w:rsid w:val="000D55C1"/>
    <w:rsid w:val="000D5857"/>
    <w:rsid w:val="000D5A1E"/>
    <w:rsid w:val="000D5C70"/>
    <w:rsid w:val="000D5F25"/>
    <w:rsid w:val="000D6601"/>
    <w:rsid w:val="000D67EC"/>
    <w:rsid w:val="000D6F4E"/>
    <w:rsid w:val="000D7731"/>
    <w:rsid w:val="000D790B"/>
    <w:rsid w:val="000E145B"/>
    <w:rsid w:val="000E1774"/>
    <w:rsid w:val="000E1849"/>
    <w:rsid w:val="000E1A7C"/>
    <w:rsid w:val="000E1B77"/>
    <w:rsid w:val="000E1BD7"/>
    <w:rsid w:val="000E21C5"/>
    <w:rsid w:val="000E23C4"/>
    <w:rsid w:val="000E256C"/>
    <w:rsid w:val="000E265B"/>
    <w:rsid w:val="000E2C63"/>
    <w:rsid w:val="000E31B5"/>
    <w:rsid w:val="000E332C"/>
    <w:rsid w:val="000E3511"/>
    <w:rsid w:val="000E39FB"/>
    <w:rsid w:val="000E409A"/>
    <w:rsid w:val="000E4D7A"/>
    <w:rsid w:val="000E50A4"/>
    <w:rsid w:val="000E50E3"/>
    <w:rsid w:val="000E56C7"/>
    <w:rsid w:val="000E5951"/>
    <w:rsid w:val="000E5B70"/>
    <w:rsid w:val="000E5DD1"/>
    <w:rsid w:val="000E6220"/>
    <w:rsid w:val="000E62F0"/>
    <w:rsid w:val="000E63EA"/>
    <w:rsid w:val="000E663D"/>
    <w:rsid w:val="000E6A06"/>
    <w:rsid w:val="000E705F"/>
    <w:rsid w:val="000E7274"/>
    <w:rsid w:val="000E788C"/>
    <w:rsid w:val="000E7B0E"/>
    <w:rsid w:val="000E7EA4"/>
    <w:rsid w:val="000E7F02"/>
    <w:rsid w:val="000F0583"/>
    <w:rsid w:val="000F0659"/>
    <w:rsid w:val="000F08DF"/>
    <w:rsid w:val="000F0D17"/>
    <w:rsid w:val="000F0E9B"/>
    <w:rsid w:val="000F113F"/>
    <w:rsid w:val="000F1448"/>
    <w:rsid w:val="000F1A78"/>
    <w:rsid w:val="000F1B3C"/>
    <w:rsid w:val="000F1B53"/>
    <w:rsid w:val="000F1C69"/>
    <w:rsid w:val="000F2028"/>
    <w:rsid w:val="000F2272"/>
    <w:rsid w:val="000F2FB3"/>
    <w:rsid w:val="000F3189"/>
    <w:rsid w:val="000F32FC"/>
    <w:rsid w:val="000F332D"/>
    <w:rsid w:val="000F343A"/>
    <w:rsid w:val="000F3495"/>
    <w:rsid w:val="000F38D9"/>
    <w:rsid w:val="000F4314"/>
    <w:rsid w:val="000F49F7"/>
    <w:rsid w:val="000F4D60"/>
    <w:rsid w:val="000F4DDB"/>
    <w:rsid w:val="000F5379"/>
    <w:rsid w:val="000F5515"/>
    <w:rsid w:val="000F5EF3"/>
    <w:rsid w:val="000F6029"/>
    <w:rsid w:val="000F62A9"/>
    <w:rsid w:val="000F6401"/>
    <w:rsid w:val="000F6579"/>
    <w:rsid w:val="000F6AC4"/>
    <w:rsid w:val="000F6AE7"/>
    <w:rsid w:val="000F7B56"/>
    <w:rsid w:val="00100453"/>
    <w:rsid w:val="00100887"/>
    <w:rsid w:val="001009C6"/>
    <w:rsid w:val="00100B0B"/>
    <w:rsid w:val="00100CCC"/>
    <w:rsid w:val="0010197D"/>
    <w:rsid w:val="00101AAA"/>
    <w:rsid w:val="00101DCA"/>
    <w:rsid w:val="00101DFE"/>
    <w:rsid w:val="00101FF9"/>
    <w:rsid w:val="00101FFC"/>
    <w:rsid w:val="001020FA"/>
    <w:rsid w:val="00102328"/>
    <w:rsid w:val="001023CA"/>
    <w:rsid w:val="00102B0F"/>
    <w:rsid w:val="00102D30"/>
    <w:rsid w:val="001030F0"/>
    <w:rsid w:val="00103C4B"/>
    <w:rsid w:val="00104626"/>
    <w:rsid w:val="00104BC0"/>
    <w:rsid w:val="00104CEC"/>
    <w:rsid w:val="00104EB2"/>
    <w:rsid w:val="001050BD"/>
    <w:rsid w:val="00105151"/>
    <w:rsid w:val="001052D0"/>
    <w:rsid w:val="0010573D"/>
    <w:rsid w:val="00105B73"/>
    <w:rsid w:val="00106F72"/>
    <w:rsid w:val="0010756B"/>
    <w:rsid w:val="00107DB1"/>
    <w:rsid w:val="0011057C"/>
    <w:rsid w:val="00110672"/>
    <w:rsid w:val="001111B3"/>
    <w:rsid w:val="0011136C"/>
    <w:rsid w:val="00111557"/>
    <w:rsid w:val="001118DE"/>
    <w:rsid w:val="001121C1"/>
    <w:rsid w:val="001122A3"/>
    <w:rsid w:val="00112384"/>
    <w:rsid w:val="001124A8"/>
    <w:rsid w:val="001133E4"/>
    <w:rsid w:val="00113450"/>
    <w:rsid w:val="00113934"/>
    <w:rsid w:val="00113BD3"/>
    <w:rsid w:val="00113ED5"/>
    <w:rsid w:val="00114060"/>
    <w:rsid w:val="00114768"/>
    <w:rsid w:val="00114782"/>
    <w:rsid w:val="00114A05"/>
    <w:rsid w:val="001151E7"/>
    <w:rsid w:val="00115516"/>
    <w:rsid w:val="001158BA"/>
    <w:rsid w:val="00115E84"/>
    <w:rsid w:val="00115F5C"/>
    <w:rsid w:val="0011603F"/>
    <w:rsid w:val="00116195"/>
    <w:rsid w:val="0011643B"/>
    <w:rsid w:val="001165FB"/>
    <w:rsid w:val="001165FC"/>
    <w:rsid w:val="00116F1E"/>
    <w:rsid w:val="001173F8"/>
    <w:rsid w:val="001179A7"/>
    <w:rsid w:val="0012125E"/>
    <w:rsid w:val="00121365"/>
    <w:rsid w:val="00121452"/>
    <w:rsid w:val="0012153D"/>
    <w:rsid w:val="00121B19"/>
    <w:rsid w:val="00121E56"/>
    <w:rsid w:val="00121EA9"/>
    <w:rsid w:val="00122D40"/>
    <w:rsid w:val="00122DEB"/>
    <w:rsid w:val="0012380A"/>
    <w:rsid w:val="00123973"/>
    <w:rsid w:val="00123A69"/>
    <w:rsid w:val="00124129"/>
    <w:rsid w:val="0012436B"/>
    <w:rsid w:val="0012451A"/>
    <w:rsid w:val="00124BB8"/>
    <w:rsid w:val="00125355"/>
    <w:rsid w:val="0012574B"/>
    <w:rsid w:val="001262C0"/>
    <w:rsid w:val="001269E5"/>
    <w:rsid w:val="001269EF"/>
    <w:rsid w:val="00127341"/>
    <w:rsid w:val="00127723"/>
    <w:rsid w:val="0013000A"/>
    <w:rsid w:val="00130458"/>
    <w:rsid w:val="00130564"/>
    <w:rsid w:val="00130648"/>
    <w:rsid w:val="0013066C"/>
    <w:rsid w:val="00130D65"/>
    <w:rsid w:val="00130EA2"/>
    <w:rsid w:val="00130EE5"/>
    <w:rsid w:val="00131019"/>
    <w:rsid w:val="001310BD"/>
    <w:rsid w:val="00131B95"/>
    <w:rsid w:val="0013217A"/>
    <w:rsid w:val="0013263F"/>
    <w:rsid w:val="0013275F"/>
    <w:rsid w:val="00132DCC"/>
    <w:rsid w:val="00132DFB"/>
    <w:rsid w:val="00132EBB"/>
    <w:rsid w:val="00132F5A"/>
    <w:rsid w:val="00133028"/>
    <w:rsid w:val="00133806"/>
    <w:rsid w:val="00133BCC"/>
    <w:rsid w:val="00133D74"/>
    <w:rsid w:val="00134B51"/>
    <w:rsid w:val="00135221"/>
    <w:rsid w:val="00135931"/>
    <w:rsid w:val="001359DD"/>
    <w:rsid w:val="00135A3F"/>
    <w:rsid w:val="00135C9E"/>
    <w:rsid w:val="00135E1A"/>
    <w:rsid w:val="00135F1D"/>
    <w:rsid w:val="00136535"/>
    <w:rsid w:val="00136B65"/>
    <w:rsid w:val="00136DCC"/>
    <w:rsid w:val="00137534"/>
    <w:rsid w:val="001376F6"/>
    <w:rsid w:val="0013790A"/>
    <w:rsid w:val="00137EB8"/>
    <w:rsid w:val="00140377"/>
    <w:rsid w:val="00140571"/>
    <w:rsid w:val="00140D3F"/>
    <w:rsid w:val="00140D85"/>
    <w:rsid w:val="00140D8C"/>
    <w:rsid w:val="00141343"/>
    <w:rsid w:val="001413E7"/>
    <w:rsid w:val="00141E3D"/>
    <w:rsid w:val="00142023"/>
    <w:rsid w:val="00142355"/>
    <w:rsid w:val="001423DA"/>
    <w:rsid w:val="001426FE"/>
    <w:rsid w:val="00142731"/>
    <w:rsid w:val="0014297B"/>
    <w:rsid w:val="00142F70"/>
    <w:rsid w:val="00143511"/>
    <w:rsid w:val="001437A8"/>
    <w:rsid w:val="00143822"/>
    <w:rsid w:val="00143A4E"/>
    <w:rsid w:val="00143C00"/>
    <w:rsid w:val="00143E1A"/>
    <w:rsid w:val="00144092"/>
    <w:rsid w:val="001440D4"/>
    <w:rsid w:val="001447B2"/>
    <w:rsid w:val="001447F5"/>
    <w:rsid w:val="001448BB"/>
    <w:rsid w:val="00144A5B"/>
    <w:rsid w:val="00144DB7"/>
    <w:rsid w:val="0014508D"/>
    <w:rsid w:val="00145476"/>
    <w:rsid w:val="00145515"/>
    <w:rsid w:val="0014572D"/>
    <w:rsid w:val="001458FE"/>
    <w:rsid w:val="00145900"/>
    <w:rsid w:val="0014682A"/>
    <w:rsid w:val="00146F15"/>
    <w:rsid w:val="00146F8C"/>
    <w:rsid w:val="0014757C"/>
    <w:rsid w:val="0014773A"/>
    <w:rsid w:val="00147959"/>
    <w:rsid w:val="001479D7"/>
    <w:rsid w:val="00147B00"/>
    <w:rsid w:val="00147BF7"/>
    <w:rsid w:val="001500B9"/>
    <w:rsid w:val="001501B4"/>
    <w:rsid w:val="00150454"/>
    <w:rsid w:val="0015059C"/>
    <w:rsid w:val="001505FC"/>
    <w:rsid w:val="001517A8"/>
    <w:rsid w:val="00151CD8"/>
    <w:rsid w:val="00152158"/>
    <w:rsid w:val="00152656"/>
    <w:rsid w:val="00152933"/>
    <w:rsid w:val="00152CAC"/>
    <w:rsid w:val="00153455"/>
    <w:rsid w:val="00153B89"/>
    <w:rsid w:val="00153E89"/>
    <w:rsid w:val="001542D2"/>
    <w:rsid w:val="001549FE"/>
    <w:rsid w:val="00154F4B"/>
    <w:rsid w:val="001554D8"/>
    <w:rsid w:val="001556E8"/>
    <w:rsid w:val="00155805"/>
    <w:rsid w:val="00155852"/>
    <w:rsid w:val="00155EDF"/>
    <w:rsid w:val="0015648D"/>
    <w:rsid w:val="00156BFD"/>
    <w:rsid w:val="00156DFC"/>
    <w:rsid w:val="00156FFF"/>
    <w:rsid w:val="00157176"/>
    <w:rsid w:val="001574DA"/>
    <w:rsid w:val="00157C7C"/>
    <w:rsid w:val="0016026F"/>
    <w:rsid w:val="001602D3"/>
    <w:rsid w:val="001603E5"/>
    <w:rsid w:val="00160894"/>
    <w:rsid w:val="00160B7A"/>
    <w:rsid w:val="00160FF0"/>
    <w:rsid w:val="001611B4"/>
    <w:rsid w:val="001613A7"/>
    <w:rsid w:val="0016142D"/>
    <w:rsid w:val="0016154A"/>
    <w:rsid w:val="00161779"/>
    <w:rsid w:val="00161B6C"/>
    <w:rsid w:val="00162018"/>
    <w:rsid w:val="00162358"/>
    <w:rsid w:val="00162E5D"/>
    <w:rsid w:val="00162F4D"/>
    <w:rsid w:val="00163C08"/>
    <w:rsid w:val="0016400A"/>
    <w:rsid w:val="0016468D"/>
    <w:rsid w:val="00164C5E"/>
    <w:rsid w:val="001652BA"/>
    <w:rsid w:val="00165D08"/>
    <w:rsid w:val="00165D7B"/>
    <w:rsid w:val="00166418"/>
    <w:rsid w:val="0016646A"/>
    <w:rsid w:val="00166A72"/>
    <w:rsid w:val="0016771E"/>
    <w:rsid w:val="00167A92"/>
    <w:rsid w:val="00167A96"/>
    <w:rsid w:val="00167B0F"/>
    <w:rsid w:val="00170131"/>
    <w:rsid w:val="00170725"/>
    <w:rsid w:val="001707CB"/>
    <w:rsid w:val="001709A9"/>
    <w:rsid w:val="00170C7B"/>
    <w:rsid w:val="001715AA"/>
    <w:rsid w:val="001717B8"/>
    <w:rsid w:val="00172118"/>
    <w:rsid w:val="0017249C"/>
    <w:rsid w:val="0017271F"/>
    <w:rsid w:val="00172AD6"/>
    <w:rsid w:val="00172D67"/>
    <w:rsid w:val="001731A9"/>
    <w:rsid w:val="0017347B"/>
    <w:rsid w:val="001742CF"/>
    <w:rsid w:val="0017495E"/>
    <w:rsid w:val="00174E2C"/>
    <w:rsid w:val="00174E6C"/>
    <w:rsid w:val="001754B6"/>
    <w:rsid w:val="00175A10"/>
    <w:rsid w:val="00175AB3"/>
    <w:rsid w:val="00175AF4"/>
    <w:rsid w:val="00175BE3"/>
    <w:rsid w:val="00175C75"/>
    <w:rsid w:val="00175C77"/>
    <w:rsid w:val="0017613F"/>
    <w:rsid w:val="00176258"/>
    <w:rsid w:val="00176CB0"/>
    <w:rsid w:val="00177870"/>
    <w:rsid w:val="00177E00"/>
    <w:rsid w:val="00180253"/>
    <w:rsid w:val="0018072B"/>
    <w:rsid w:val="00180BB1"/>
    <w:rsid w:val="00180DFE"/>
    <w:rsid w:val="00180E99"/>
    <w:rsid w:val="00181AE9"/>
    <w:rsid w:val="00181F0A"/>
    <w:rsid w:val="001820C7"/>
    <w:rsid w:val="001823E5"/>
    <w:rsid w:val="00182F31"/>
    <w:rsid w:val="001832EE"/>
    <w:rsid w:val="0018346F"/>
    <w:rsid w:val="00183566"/>
    <w:rsid w:val="00183573"/>
    <w:rsid w:val="00183614"/>
    <w:rsid w:val="00184FD8"/>
    <w:rsid w:val="0018513B"/>
    <w:rsid w:val="001851AC"/>
    <w:rsid w:val="00185792"/>
    <w:rsid w:val="00185B05"/>
    <w:rsid w:val="00186347"/>
    <w:rsid w:val="001866E1"/>
    <w:rsid w:val="001869D8"/>
    <w:rsid w:val="00186ED4"/>
    <w:rsid w:val="00187447"/>
    <w:rsid w:val="00187A04"/>
    <w:rsid w:val="00190037"/>
    <w:rsid w:val="00190A80"/>
    <w:rsid w:val="00190B75"/>
    <w:rsid w:val="00190E70"/>
    <w:rsid w:val="001915C3"/>
    <w:rsid w:val="00191F27"/>
    <w:rsid w:val="001929DD"/>
    <w:rsid w:val="00192EBF"/>
    <w:rsid w:val="001938B7"/>
    <w:rsid w:val="00195079"/>
    <w:rsid w:val="0019518A"/>
    <w:rsid w:val="001955D7"/>
    <w:rsid w:val="00195CC5"/>
    <w:rsid w:val="00195D4A"/>
    <w:rsid w:val="00195DB1"/>
    <w:rsid w:val="00195EC3"/>
    <w:rsid w:val="001968B4"/>
    <w:rsid w:val="00196A24"/>
    <w:rsid w:val="00196AEE"/>
    <w:rsid w:val="00196CF5"/>
    <w:rsid w:val="00196EC8"/>
    <w:rsid w:val="00196EE9"/>
    <w:rsid w:val="00196F4C"/>
    <w:rsid w:val="0019732E"/>
    <w:rsid w:val="00197542"/>
    <w:rsid w:val="001A008B"/>
    <w:rsid w:val="001A0199"/>
    <w:rsid w:val="001A0703"/>
    <w:rsid w:val="001A0CFC"/>
    <w:rsid w:val="001A1015"/>
    <w:rsid w:val="001A1016"/>
    <w:rsid w:val="001A10B0"/>
    <w:rsid w:val="001A1197"/>
    <w:rsid w:val="001A1476"/>
    <w:rsid w:val="001A179B"/>
    <w:rsid w:val="001A1F67"/>
    <w:rsid w:val="001A21D4"/>
    <w:rsid w:val="001A2582"/>
    <w:rsid w:val="001A26C4"/>
    <w:rsid w:val="001A2791"/>
    <w:rsid w:val="001A324C"/>
    <w:rsid w:val="001A38AE"/>
    <w:rsid w:val="001A3C16"/>
    <w:rsid w:val="001A429E"/>
    <w:rsid w:val="001A446A"/>
    <w:rsid w:val="001A4A12"/>
    <w:rsid w:val="001A4D92"/>
    <w:rsid w:val="001A4EF1"/>
    <w:rsid w:val="001A52FE"/>
    <w:rsid w:val="001A539C"/>
    <w:rsid w:val="001A59A4"/>
    <w:rsid w:val="001A6402"/>
    <w:rsid w:val="001A66C2"/>
    <w:rsid w:val="001A6AC2"/>
    <w:rsid w:val="001A7357"/>
    <w:rsid w:val="001A7ADD"/>
    <w:rsid w:val="001A7D8B"/>
    <w:rsid w:val="001B0E3F"/>
    <w:rsid w:val="001B0F53"/>
    <w:rsid w:val="001B15E6"/>
    <w:rsid w:val="001B1ECD"/>
    <w:rsid w:val="001B1FBF"/>
    <w:rsid w:val="001B2199"/>
    <w:rsid w:val="001B25F5"/>
    <w:rsid w:val="001B2923"/>
    <w:rsid w:val="001B2CCA"/>
    <w:rsid w:val="001B31AC"/>
    <w:rsid w:val="001B328D"/>
    <w:rsid w:val="001B3607"/>
    <w:rsid w:val="001B3645"/>
    <w:rsid w:val="001B37AB"/>
    <w:rsid w:val="001B3BE7"/>
    <w:rsid w:val="001B423A"/>
    <w:rsid w:val="001B46DF"/>
    <w:rsid w:val="001B4C6D"/>
    <w:rsid w:val="001B579A"/>
    <w:rsid w:val="001B5ECC"/>
    <w:rsid w:val="001B6246"/>
    <w:rsid w:val="001B64D2"/>
    <w:rsid w:val="001B7027"/>
    <w:rsid w:val="001B7401"/>
    <w:rsid w:val="001B7A24"/>
    <w:rsid w:val="001C014D"/>
    <w:rsid w:val="001C044D"/>
    <w:rsid w:val="001C07B2"/>
    <w:rsid w:val="001C08FF"/>
    <w:rsid w:val="001C112B"/>
    <w:rsid w:val="001C1372"/>
    <w:rsid w:val="001C1B7D"/>
    <w:rsid w:val="001C20B8"/>
    <w:rsid w:val="001C2108"/>
    <w:rsid w:val="001C26F8"/>
    <w:rsid w:val="001C2AE0"/>
    <w:rsid w:val="001C2F22"/>
    <w:rsid w:val="001C30FE"/>
    <w:rsid w:val="001C3339"/>
    <w:rsid w:val="001C3E22"/>
    <w:rsid w:val="001C4DE2"/>
    <w:rsid w:val="001C4E5B"/>
    <w:rsid w:val="001C5502"/>
    <w:rsid w:val="001C5591"/>
    <w:rsid w:val="001C5789"/>
    <w:rsid w:val="001C5EEB"/>
    <w:rsid w:val="001C60FA"/>
    <w:rsid w:val="001C6588"/>
    <w:rsid w:val="001C66DC"/>
    <w:rsid w:val="001C6864"/>
    <w:rsid w:val="001C74F9"/>
    <w:rsid w:val="001C7981"/>
    <w:rsid w:val="001C7C3B"/>
    <w:rsid w:val="001C7DCC"/>
    <w:rsid w:val="001D0468"/>
    <w:rsid w:val="001D128A"/>
    <w:rsid w:val="001D1E3D"/>
    <w:rsid w:val="001D2AC1"/>
    <w:rsid w:val="001D396B"/>
    <w:rsid w:val="001D4048"/>
    <w:rsid w:val="001D4172"/>
    <w:rsid w:val="001D4F27"/>
    <w:rsid w:val="001D4F2E"/>
    <w:rsid w:val="001D5559"/>
    <w:rsid w:val="001D56BB"/>
    <w:rsid w:val="001D59A3"/>
    <w:rsid w:val="001D69F6"/>
    <w:rsid w:val="001D6D45"/>
    <w:rsid w:val="001D6E0A"/>
    <w:rsid w:val="001D7AFE"/>
    <w:rsid w:val="001D7E23"/>
    <w:rsid w:val="001D7FDC"/>
    <w:rsid w:val="001E08BF"/>
    <w:rsid w:val="001E1326"/>
    <w:rsid w:val="001E149A"/>
    <w:rsid w:val="001E1711"/>
    <w:rsid w:val="001E1733"/>
    <w:rsid w:val="001E1D2D"/>
    <w:rsid w:val="001E1F1E"/>
    <w:rsid w:val="001E2120"/>
    <w:rsid w:val="001E2682"/>
    <w:rsid w:val="001E2806"/>
    <w:rsid w:val="001E29A5"/>
    <w:rsid w:val="001E37B5"/>
    <w:rsid w:val="001E3978"/>
    <w:rsid w:val="001E3BB9"/>
    <w:rsid w:val="001E3EA0"/>
    <w:rsid w:val="001E445E"/>
    <w:rsid w:val="001E4BE8"/>
    <w:rsid w:val="001E4F9B"/>
    <w:rsid w:val="001E5427"/>
    <w:rsid w:val="001E5787"/>
    <w:rsid w:val="001E590D"/>
    <w:rsid w:val="001E5949"/>
    <w:rsid w:val="001E5982"/>
    <w:rsid w:val="001E5B37"/>
    <w:rsid w:val="001E5E9C"/>
    <w:rsid w:val="001E66AE"/>
    <w:rsid w:val="001E6821"/>
    <w:rsid w:val="001E7054"/>
    <w:rsid w:val="001E7343"/>
    <w:rsid w:val="001E75B8"/>
    <w:rsid w:val="001E7648"/>
    <w:rsid w:val="001E78DB"/>
    <w:rsid w:val="001F012B"/>
    <w:rsid w:val="001F0620"/>
    <w:rsid w:val="001F1348"/>
    <w:rsid w:val="001F150D"/>
    <w:rsid w:val="001F1BDC"/>
    <w:rsid w:val="001F1C0D"/>
    <w:rsid w:val="001F1E53"/>
    <w:rsid w:val="001F2BCB"/>
    <w:rsid w:val="001F2BE1"/>
    <w:rsid w:val="001F2F28"/>
    <w:rsid w:val="001F306B"/>
    <w:rsid w:val="001F38CD"/>
    <w:rsid w:val="001F3A9C"/>
    <w:rsid w:val="001F3AD4"/>
    <w:rsid w:val="001F3C79"/>
    <w:rsid w:val="001F3F78"/>
    <w:rsid w:val="001F48CA"/>
    <w:rsid w:val="001F4E73"/>
    <w:rsid w:val="001F591F"/>
    <w:rsid w:val="001F65C3"/>
    <w:rsid w:val="001F663E"/>
    <w:rsid w:val="001F69F5"/>
    <w:rsid w:val="001F6A16"/>
    <w:rsid w:val="001F6B62"/>
    <w:rsid w:val="001F74CE"/>
    <w:rsid w:val="001F7547"/>
    <w:rsid w:val="001F759B"/>
    <w:rsid w:val="001F765D"/>
    <w:rsid w:val="0020133B"/>
    <w:rsid w:val="0020159D"/>
    <w:rsid w:val="00201909"/>
    <w:rsid w:val="00201E7B"/>
    <w:rsid w:val="00202176"/>
    <w:rsid w:val="00202264"/>
    <w:rsid w:val="00202314"/>
    <w:rsid w:val="0020298C"/>
    <w:rsid w:val="00202C44"/>
    <w:rsid w:val="00202DF0"/>
    <w:rsid w:val="00202E57"/>
    <w:rsid w:val="00202E8C"/>
    <w:rsid w:val="00203546"/>
    <w:rsid w:val="00203992"/>
    <w:rsid w:val="00203EAB"/>
    <w:rsid w:val="00204066"/>
    <w:rsid w:val="002040C6"/>
    <w:rsid w:val="0020449C"/>
    <w:rsid w:val="00204790"/>
    <w:rsid w:val="00204C5D"/>
    <w:rsid w:val="00204D22"/>
    <w:rsid w:val="00205093"/>
    <w:rsid w:val="00205355"/>
    <w:rsid w:val="00205C87"/>
    <w:rsid w:val="00206102"/>
    <w:rsid w:val="00206268"/>
    <w:rsid w:val="002062E9"/>
    <w:rsid w:val="002066C7"/>
    <w:rsid w:val="002067DA"/>
    <w:rsid w:val="002075B1"/>
    <w:rsid w:val="00207B1C"/>
    <w:rsid w:val="0021010A"/>
    <w:rsid w:val="00210397"/>
    <w:rsid w:val="00210661"/>
    <w:rsid w:val="002113D0"/>
    <w:rsid w:val="00211464"/>
    <w:rsid w:val="00211623"/>
    <w:rsid w:val="0021176F"/>
    <w:rsid w:val="00211AC4"/>
    <w:rsid w:val="0021270B"/>
    <w:rsid w:val="00212A2B"/>
    <w:rsid w:val="00212C55"/>
    <w:rsid w:val="002138E0"/>
    <w:rsid w:val="00213940"/>
    <w:rsid w:val="00213C0E"/>
    <w:rsid w:val="002140B6"/>
    <w:rsid w:val="002145CD"/>
    <w:rsid w:val="00214728"/>
    <w:rsid w:val="00214986"/>
    <w:rsid w:val="00214A13"/>
    <w:rsid w:val="00215143"/>
    <w:rsid w:val="0021518B"/>
    <w:rsid w:val="00215277"/>
    <w:rsid w:val="002155CF"/>
    <w:rsid w:val="0021598F"/>
    <w:rsid w:val="00215CE5"/>
    <w:rsid w:val="00215D0A"/>
    <w:rsid w:val="00215EB7"/>
    <w:rsid w:val="00216618"/>
    <w:rsid w:val="002169CF"/>
    <w:rsid w:val="00216BD4"/>
    <w:rsid w:val="00216FAB"/>
    <w:rsid w:val="00217128"/>
    <w:rsid w:val="00217342"/>
    <w:rsid w:val="0021734B"/>
    <w:rsid w:val="002176C9"/>
    <w:rsid w:val="00217932"/>
    <w:rsid w:val="00217D4D"/>
    <w:rsid w:val="002209AB"/>
    <w:rsid w:val="00220A61"/>
    <w:rsid w:val="00220BE3"/>
    <w:rsid w:val="00220FD3"/>
    <w:rsid w:val="0022118E"/>
    <w:rsid w:val="00221208"/>
    <w:rsid w:val="00221466"/>
    <w:rsid w:val="00221B34"/>
    <w:rsid w:val="00221B89"/>
    <w:rsid w:val="00221CEB"/>
    <w:rsid w:val="002220E5"/>
    <w:rsid w:val="00222F8C"/>
    <w:rsid w:val="00223192"/>
    <w:rsid w:val="002234E4"/>
    <w:rsid w:val="00223563"/>
    <w:rsid w:val="00223787"/>
    <w:rsid w:val="00223FB0"/>
    <w:rsid w:val="0022441A"/>
    <w:rsid w:val="00224BD5"/>
    <w:rsid w:val="00225312"/>
    <w:rsid w:val="0022554B"/>
    <w:rsid w:val="002259FF"/>
    <w:rsid w:val="00225AFD"/>
    <w:rsid w:val="00225EDF"/>
    <w:rsid w:val="00226009"/>
    <w:rsid w:val="0022647A"/>
    <w:rsid w:val="00226BC3"/>
    <w:rsid w:val="00227019"/>
    <w:rsid w:val="0022725E"/>
    <w:rsid w:val="0022727D"/>
    <w:rsid w:val="002272AE"/>
    <w:rsid w:val="002273DA"/>
    <w:rsid w:val="0022775F"/>
    <w:rsid w:val="00227A6E"/>
    <w:rsid w:val="00227AC2"/>
    <w:rsid w:val="00227F67"/>
    <w:rsid w:val="00230C9A"/>
    <w:rsid w:val="00230CB6"/>
    <w:rsid w:val="0023128D"/>
    <w:rsid w:val="0023136F"/>
    <w:rsid w:val="0023157B"/>
    <w:rsid w:val="00231587"/>
    <w:rsid w:val="002317C5"/>
    <w:rsid w:val="00231B5F"/>
    <w:rsid w:val="00231DC0"/>
    <w:rsid w:val="00231F73"/>
    <w:rsid w:val="00232305"/>
    <w:rsid w:val="00232709"/>
    <w:rsid w:val="00233537"/>
    <w:rsid w:val="002335B3"/>
    <w:rsid w:val="002337A1"/>
    <w:rsid w:val="00233A8D"/>
    <w:rsid w:val="00233AF1"/>
    <w:rsid w:val="00233AF4"/>
    <w:rsid w:val="00233B6F"/>
    <w:rsid w:val="00233E39"/>
    <w:rsid w:val="00234526"/>
    <w:rsid w:val="0023494D"/>
    <w:rsid w:val="00234AAA"/>
    <w:rsid w:val="00236665"/>
    <w:rsid w:val="002372E2"/>
    <w:rsid w:val="00237CEB"/>
    <w:rsid w:val="00240366"/>
    <w:rsid w:val="00240727"/>
    <w:rsid w:val="00240732"/>
    <w:rsid w:val="00240CA4"/>
    <w:rsid w:val="0024155E"/>
    <w:rsid w:val="00241975"/>
    <w:rsid w:val="00241C39"/>
    <w:rsid w:val="00241D8D"/>
    <w:rsid w:val="002420AD"/>
    <w:rsid w:val="00242179"/>
    <w:rsid w:val="00242858"/>
    <w:rsid w:val="002430E5"/>
    <w:rsid w:val="002437F2"/>
    <w:rsid w:val="0024395C"/>
    <w:rsid w:val="002439A7"/>
    <w:rsid w:val="00244376"/>
    <w:rsid w:val="002443A3"/>
    <w:rsid w:val="00244770"/>
    <w:rsid w:val="0024495A"/>
    <w:rsid w:val="00244CC5"/>
    <w:rsid w:val="00245A28"/>
    <w:rsid w:val="00245DEF"/>
    <w:rsid w:val="002467C2"/>
    <w:rsid w:val="00246EAE"/>
    <w:rsid w:val="0024766D"/>
    <w:rsid w:val="002507DB"/>
    <w:rsid w:val="00250FF9"/>
    <w:rsid w:val="0025100C"/>
    <w:rsid w:val="002512F5"/>
    <w:rsid w:val="0025155C"/>
    <w:rsid w:val="00251E95"/>
    <w:rsid w:val="00251EA4"/>
    <w:rsid w:val="00252149"/>
    <w:rsid w:val="002525A1"/>
    <w:rsid w:val="0025281A"/>
    <w:rsid w:val="00252878"/>
    <w:rsid w:val="00252A0B"/>
    <w:rsid w:val="00252D77"/>
    <w:rsid w:val="00252ED9"/>
    <w:rsid w:val="002536B1"/>
    <w:rsid w:val="00253A2B"/>
    <w:rsid w:val="00253A7E"/>
    <w:rsid w:val="00253ACC"/>
    <w:rsid w:val="00253AF3"/>
    <w:rsid w:val="00253EA4"/>
    <w:rsid w:val="0025460C"/>
    <w:rsid w:val="0025465C"/>
    <w:rsid w:val="00254A0C"/>
    <w:rsid w:val="00254E35"/>
    <w:rsid w:val="0025507C"/>
    <w:rsid w:val="0025539A"/>
    <w:rsid w:val="00255577"/>
    <w:rsid w:val="002560C2"/>
    <w:rsid w:val="00256137"/>
    <w:rsid w:val="0025659F"/>
    <w:rsid w:val="00256C9F"/>
    <w:rsid w:val="00257134"/>
    <w:rsid w:val="00257926"/>
    <w:rsid w:val="00257949"/>
    <w:rsid w:val="00261215"/>
    <w:rsid w:val="0026154B"/>
    <w:rsid w:val="00261575"/>
    <w:rsid w:val="002615DE"/>
    <w:rsid w:val="00261998"/>
    <w:rsid w:val="00261D3C"/>
    <w:rsid w:val="0026223E"/>
    <w:rsid w:val="00262277"/>
    <w:rsid w:val="00262379"/>
    <w:rsid w:val="00262EE7"/>
    <w:rsid w:val="002630C2"/>
    <w:rsid w:val="002630F2"/>
    <w:rsid w:val="002632FD"/>
    <w:rsid w:val="002633CC"/>
    <w:rsid w:val="002638C5"/>
    <w:rsid w:val="00263F74"/>
    <w:rsid w:val="002641AF"/>
    <w:rsid w:val="002645C0"/>
    <w:rsid w:val="0026470C"/>
    <w:rsid w:val="00264986"/>
    <w:rsid w:val="00264E87"/>
    <w:rsid w:val="00265348"/>
    <w:rsid w:val="002656B6"/>
    <w:rsid w:val="00265834"/>
    <w:rsid w:val="00265A90"/>
    <w:rsid w:val="00266033"/>
    <w:rsid w:val="002661CC"/>
    <w:rsid w:val="00266AB6"/>
    <w:rsid w:val="002670DB"/>
    <w:rsid w:val="002672C5"/>
    <w:rsid w:val="002672E9"/>
    <w:rsid w:val="00270D56"/>
    <w:rsid w:val="00270F52"/>
    <w:rsid w:val="00271737"/>
    <w:rsid w:val="002717BB"/>
    <w:rsid w:val="0027199E"/>
    <w:rsid w:val="00271A77"/>
    <w:rsid w:val="00271A97"/>
    <w:rsid w:val="00271E72"/>
    <w:rsid w:val="002721FC"/>
    <w:rsid w:val="0027231A"/>
    <w:rsid w:val="0027234D"/>
    <w:rsid w:val="00273126"/>
    <w:rsid w:val="00273733"/>
    <w:rsid w:val="00274218"/>
    <w:rsid w:val="00274303"/>
    <w:rsid w:val="002745E7"/>
    <w:rsid w:val="00274C04"/>
    <w:rsid w:val="00274E12"/>
    <w:rsid w:val="002752B0"/>
    <w:rsid w:val="00275901"/>
    <w:rsid w:val="002761AC"/>
    <w:rsid w:val="002762D7"/>
    <w:rsid w:val="00276395"/>
    <w:rsid w:val="002764CA"/>
    <w:rsid w:val="002766C5"/>
    <w:rsid w:val="0027694D"/>
    <w:rsid w:val="00276E35"/>
    <w:rsid w:val="00276FB6"/>
    <w:rsid w:val="00277437"/>
    <w:rsid w:val="00277847"/>
    <w:rsid w:val="00277FFE"/>
    <w:rsid w:val="00280BEC"/>
    <w:rsid w:val="00280C64"/>
    <w:rsid w:val="0028112B"/>
    <w:rsid w:val="002819A5"/>
    <w:rsid w:val="00282194"/>
    <w:rsid w:val="00282484"/>
    <w:rsid w:val="002827E3"/>
    <w:rsid w:val="00283144"/>
    <w:rsid w:val="002831BA"/>
    <w:rsid w:val="002837DF"/>
    <w:rsid w:val="00283A76"/>
    <w:rsid w:val="00283BA1"/>
    <w:rsid w:val="00283BCF"/>
    <w:rsid w:val="00283E38"/>
    <w:rsid w:val="00284899"/>
    <w:rsid w:val="00284F65"/>
    <w:rsid w:val="00285522"/>
    <w:rsid w:val="00285A59"/>
    <w:rsid w:val="00285A9A"/>
    <w:rsid w:val="00285DF2"/>
    <w:rsid w:val="00285F92"/>
    <w:rsid w:val="002860E2"/>
    <w:rsid w:val="00286638"/>
    <w:rsid w:val="00286FAD"/>
    <w:rsid w:val="002877F0"/>
    <w:rsid w:val="0028785B"/>
    <w:rsid w:val="00287A7B"/>
    <w:rsid w:val="00287F09"/>
    <w:rsid w:val="0029013F"/>
    <w:rsid w:val="002903BA"/>
    <w:rsid w:val="00290A89"/>
    <w:rsid w:val="00290B97"/>
    <w:rsid w:val="002912CD"/>
    <w:rsid w:val="00291553"/>
    <w:rsid w:val="002918BF"/>
    <w:rsid w:val="00291FD7"/>
    <w:rsid w:val="0029282E"/>
    <w:rsid w:val="00292A69"/>
    <w:rsid w:val="00292F48"/>
    <w:rsid w:val="002934F2"/>
    <w:rsid w:val="00293738"/>
    <w:rsid w:val="002938A9"/>
    <w:rsid w:val="002938E1"/>
    <w:rsid w:val="00293C47"/>
    <w:rsid w:val="00294CD0"/>
    <w:rsid w:val="00294EF0"/>
    <w:rsid w:val="00294F05"/>
    <w:rsid w:val="00295022"/>
    <w:rsid w:val="00295443"/>
    <w:rsid w:val="0029643A"/>
    <w:rsid w:val="00296489"/>
    <w:rsid w:val="00296624"/>
    <w:rsid w:val="00296A2C"/>
    <w:rsid w:val="002A011B"/>
    <w:rsid w:val="002A03D1"/>
    <w:rsid w:val="002A0501"/>
    <w:rsid w:val="002A0D6E"/>
    <w:rsid w:val="002A10A6"/>
    <w:rsid w:val="002A1129"/>
    <w:rsid w:val="002A1164"/>
    <w:rsid w:val="002A17AF"/>
    <w:rsid w:val="002A2242"/>
    <w:rsid w:val="002A23AA"/>
    <w:rsid w:val="002A23E6"/>
    <w:rsid w:val="002A2BBE"/>
    <w:rsid w:val="002A2E06"/>
    <w:rsid w:val="002A3013"/>
    <w:rsid w:val="002A37DB"/>
    <w:rsid w:val="002A3A78"/>
    <w:rsid w:val="002A4000"/>
    <w:rsid w:val="002A463B"/>
    <w:rsid w:val="002A48DF"/>
    <w:rsid w:val="002A54F7"/>
    <w:rsid w:val="002A5821"/>
    <w:rsid w:val="002A5D80"/>
    <w:rsid w:val="002A5DE9"/>
    <w:rsid w:val="002A694F"/>
    <w:rsid w:val="002A6973"/>
    <w:rsid w:val="002A6BA4"/>
    <w:rsid w:val="002A7512"/>
    <w:rsid w:val="002A77FC"/>
    <w:rsid w:val="002A7F35"/>
    <w:rsid w:val="002B02B9"/>
    <w:rsid w:val="002B0366"/>
    <w:rsid w:val="002B0424"/>
    <w:rsid w:val="002B04EF"/>
    <w:rsid w:val="002B0619"/>
    <w:rsid w:val="002B077A"/>
    <w:rsid w:val="002B081E"/>
    <w:rsid w:val="002B140E"/>
    <w:rsid w:val="002B15CC"/>
    <w:rsid w:val="002B20B7"/>
    <w:rsid w:val="002B2431"/>
    <w:rsid w:val="002B24B5"/>
    <w:rsid w:val="002B2BF7"/>
    <w:rsid w:val="002B3479"/>
    <w:rsid w:val="002B3AE7"/>
    <w:rsid w:val="002B3EBA"/>
    <w:rsid w:val="002B410C"/>
    <w:rsid w:val="002B45C2"/>
    <w:rsid w:val="002B4947"/>
    <w:rsid w:val="002B4F2E"/>
    <w:rsid w:val="002B59A2"/>
    <w:rsid w:val="002B5DC4"/>
    <w:rsid w:val="002B5F18"/>
    <w:rsid w:val="002B6446"/>
    <w:rsid w:val="002B658E"/>
    <w:rsid w:val="002B6C63"/>
    <w:rsid w:val="002B73E7"/>
    <w:rsid w:val="002B75A1"/>
    <w:rsid w:val="002B795E"/>
    <w:rsid w:val="002B7DB7"/>
    <w:rsid w:val="002C00BD"/>
    <w:rsid w:val="002C0421"/>
    <w:rsid w:val="002C0D23"/>
    <w:rsid w:val="002C158D"/>
    <w:rsid w:val="002C196F"/>
    <w:rsid w:val="002C1ABA"/>
    <w:rsid w:val="002C1B69"/>
    <w:rsid w:val="002C1F88"/>
    <w:rsid w:val="002C2689"/>
    <w:rsid w:val="002C3887"/>
    <w:rsid w:val="002C3B9C"/>
    <w:rsid w:val="002C3E79"/>
    <w:rsid w:val="002C4376"/>
    <w:rsid w:val="002C500F"/>
    <w:rsid w:val="002C57C0"/>
    <w:rsid w:val="002C62DD"/>
    <w:rsid w:val="002C6348"/>
    <w:rsid w:val="002C650E"/>
    <w:rsid w:val="002C66DE"/>
    <w:rsid w:val="002C68B2"/>
    <w:rsid w:val="002C6B7A"/>
    <w:rsid w:val="002C6ECA"/>
    <w:rsid w:val="002C7317"/>
    <w:rsid w:val="002C7BF6"/>
    <w:rsid w:val="002D011F"/>
    <w:rsid w:val="002D1695"/>
    <w:rsid w:val="002D1941"/>
    <w:rsid w:val="002D2BA8"/>
    <w:rsid w:val="002D3207"/>
    <w:rsid w:val="002D355D"/>
    <w:rsid w:val="002D3864"/>
    <w:rsid w:val="002D3937"/>
    <w:rsid w:val="002D3D32"/>
    <w:rsid w:val="002D40C3"/>
    <w:rsid w:val="002D42DB"/>
    <w:rsid w:val="002D438F"/>
    <w:rsid w:val="002D4549"/>
    <w:rsid w:val="002D47D0"/>
    <w:rsid w:val="002D4AB5"/>
    <w:rsid w:val="002D4F56"/>
    <w:rsid w:val="002D5163"/>
    <w:rsid w:val="002D516C"/>
    <w:rsid w:val="002D5194"/>
    <w:rsid w:val="002D5233"/>
    <w:rsid w:val="002D5A45"/>
    <w:rsid w:val="002D5A76"/>
    <w:rsid w:val="002D5AF5"/>
    <w:rsid w:val="002D5EAD"/>
    <w:rsid w:val="002D645F"/>
    <w:rsid w:val="002D6B73"/>
    <w:rsid w:val="002D6C9B"/>
    <w:rsid w:val="002D6E39"/>
    <w:rsid w:val="002D727E"/>
    <w:rsid w:val="002D758B"/>
    <w:rsid w:val="002D77A5"/>
    <w:rsid w:val="002D79DB"/>
    <w:rsid w:val="002D7F70"/>
    <w:rsid w:val="002E0000"/>
    <w:rsid w:val="002E00F1"/>
    <w:rsid w:val="002E030A"/>
    <w:rsid w:val="002E082E"/>
    <w:rsid w:val="002E0A0F"/>
    <w:rsid w:val="002E0AE0"/>
    <w:rsid w:val="002E0F0F"/>
    <w:rsid w:val="002E1322"/>
    <w:rsid w:val="002E136F"/>
    <w:rsid w:val="002E139B"/>
    <w:rsid w:val="002E23E7"/>
    <w:rsid w:val="002E27A6"/>
    <w:rsid w:val="002E2896"/>
    <w:rsid w:val="002E2D2E"/>
    <w:rsid w:val="002E2DC8"/>
    <w:rsid w:val="002E310B"/>
    <w:rsid w:val="002E321B"/>
    <w:rsid w:val="002E3228"/>
    <w:rsid w:val="002E3719"/>
    <w:rsid w:val="002E3B7E"/>
    <w:rsid w:val="002E3D8A"/>
    <w:rsid w:val="002E40A2"/>
    <w:rsid w:val="002E43C1"/>
    <w:rsid w:val="002E45A2"/>
    <w:rsid w:val="002E490F"/>
    <w:rsid w:val="002E50FD"/>
    <w:rsid w:val="002E588B"/>
    <w:rsid w:val="002E6005"/>
    <w:rsid w:val="002E6246"/>
    <w:rsid w:val="002E6589"/>
    <w:rsid w:val="002E65F4"/>
    <w:rsid w:val="002E68D4"/>
    <w:rsid w:val="002E6C7B"/>
    <w:rsid w:val="002E6DA5"/>
    <w:rsid w:val="002E719A"/>
    <w:rsid w:val="002E7290"/>
    <w:rsid w:val="002E75FE"/>
    <w:rsid w:val="002E78E1"/>
    <w:rsid w:val="002E794B"/>
    <w:rsid w:val="002E7FBB"/>
    <w:rsid w:val="002F0096"/>
    <w:rsid w:val="002F00CB"/>
    <w:rsid w:val="002F0267"/>
    <w:rsid w:val="002F040A"/>
    <w:rsid w:val="002F0454"/>
    <w:rsid w:val="002F092C"/>
    <w:rsid w:val="002F0D01"/>
    <w:rsid w:val="002F10B2"/>
    <w:rsid w:val="002F1BF1"/>
    <w:rsid w:val="002F1CD0"/>
    <w:rsid w:val="002F2BD4"/>
    <w:rsid w:val="002F2EB2"/>
    <w:rsid w:val="002F3330"/>
    <w:rsid w:val="002F3358"/>
    <w:rsid w:val="002F3362"/>
    <w:rsid w:val="002F34CD"/>
    <w:rsid w:val="002F3CAB"/>
    <w:rsid w:val="002F4556"/>
    <w:rsid w:val="002F476B"/>
    <w:rsid w:val="002F47DC"/>
    <w:rsid w:val="002F484E"/>
    <w:rsid w:val="002F48B9"/>
    <w:rsid w:val="002F5563"/>
    <w:rsid w:val="002F5900"/>
    <w:rsid w:val="002F59F6"/>
    <w:rsid w:val="002F5D25"/>
    <w:rsid w:val="002F6F70"/>
    <w:rsid w:val="002F7359"/>
    <w:rsid w:val="002F780F"/>
    <w:rsid w:val="002F7A3F"/>
    <w:rsid w:val="0030020E"/>
    <w:rsid w:val="0030075A"/>
    <w:rsid w:val="003007C4"/>
    <w:rsid w:val="003009E1"/>
    <w:rsid w:val="00300B72"/>
    <w:rsid w:val="00301051"/>
    <w:rsid w:val="00301558"/>
    <w:rsid w:val="003018E6"/>
    <w:rsid w:val="003019F1"/>
    <w:rsid w:val="00301AA0"/>
    <w:rsid w:val="00301DCA"/>
    <w:rsid w:val="00302126"/>
    <w:rsid w:val="00302564"/>
    <w:rsid w:val="003029A3"/>
    <w:rsid w:val="00302AF9"/>
    <w:rsid w:val="00303348"/>
    <w:rsid w:val="00303AD3"/>
    <w:rsid w:val="00303CEC"/>
    <w:rsid w:val="00304093"/>
    <w:rsid w:val="003040F6"/>
    <w:rsid w:val="00304245"/>
    <w:rsid w:val="003042B4"/>
    <w:rsid w:val="00304BC8"/>
    <w:rsid w:val="00304F27"/>
    <w:rsid w:val="003054DA"/>
    <w:rsid w:val="00305602"/>
    <w:rsid w:val="00305A6E"/>
    <w:rsid w:val="00305BCC"/>
    <w:rsid w:val="00305EEE"/>
    <w:rsid w:val="00305F45"/>
    <w:rsid w:val="00305FE3"/>
    <w:rsid w:val="0030637F"/>
    <w:rsid w:val="00306685"/>
    <w:rsid w:val="00306A43"/>
    <w:rsid w:val="00306C6E"/>
    <w:rsid w:val="00306CD6"/>
    <w:rsid w:val="0030731B"/>
    <w:rsid w:val="0030753D"/>
    <w:rsid w:val="00307629"/>
    <w:rsid w:val="00307CEC"/>
    <w:rsid w:val="00310167"/>
    <w:rsid w:val="00310AB6"/>
    <w:rsid w:val="00311244"/>
    <w:rsid w:val="003114EB"/>
    <w:rsid w:val="00311593"/>
    <w:rsid w:val="003118B9"/>
    <w:rsid w:val="003129CE"/>
    <w:rsid w:val="00312A73"/>
    <w:rsid w:val="00312D05"/>
    <w:rsid w:val="00312DB0"/>
    <w:rsid w:val="0031300A"/>
    <w:rsid w:val="003132E3"/>
    <w:rsid w:val="0031336F"/>
    <w:rsid w:val="00313485"/>
    <w:rsid w:val="00313E3F"/>
    <w:rsid w:val="00313FA3"/>
    <w:rsid w:val="0031407B"/>
    <w:rsid w:val="003140B8"/>
    <w:rsid w:val="00314908"/>
    <w:rsid w:val="00314F3B"/>
    <w:rsid w:val="00315354"/>
    <w:rsid w:val="003159FD"/>
    <w:rsid w:val="00315AA3"/>
    <w:rsid w:val="00315B13"/>
    <w:rsid w:val="003169A8"/>
    <w:rsid w:val="00316B50"/>
    <w:rsid w:val="00316C76"/>
    <w:rsid w:val="003175D9"/>
    <w:rsid w:val="003178DE"/>
    <w:rsid w:val="003179AD"/>
    <w:rsid w:val="00317F47"/>
    <w:rsid w:val="0032005A"/>
    <w:rsid w:val="003203FB"/>
    <w:rsid w:val="00320475"/>
    <w:rsid w:val="0032103B"/>
    <w:rsid w:val="00321379"/>
    <w:rsid w:val="00321C9B"/>
    <w:rsid w:val="00321D8C"/>
    <w:rsid w:val="0032201A"/>
    <w:rsid w:val="003220FC"/>
    <w:rsid w:val="00322138"/>
    <w:rsid w:val="00322BA4"/>
    <w:rsid w:val="00322F36"/>
    <w:rsid w:val="00322FAE"/>
    <w:rsid w:val="00322FBA"/>
    <w:rsid w:val="00323131"/>
    <w:rsid w:val="0032371A"/>
    <w:rsid w:val="0032377D"/>
    <w:rsid w:val="00323A68"/>
    <w:rsid w:val="00323E4B"/>
    <w:rsid w:val="0032448B"/>
    <w:rsid w:val="00324D5D"/>
    <w:rsid w:val="00324F2E"/>
    <w:rsid w:val="003258A1"/>
    <w:rsid w:val="00325BF7"/>
    <w:rsid w:val="00325D0B"/>
    <w:rsid w:val="003264BD"/>
    <w:rsid w:val="00326721"/>
    <w:rsid w:val="0032682B"/>
    <w:rsid w:val="00326A42"/>
    <w:rsid w:val="00326A89"/>
    <w:rsid w:val="00326EFC"/>
    <w:rsid w:val="00326FFB"/>
    <w:rsid w:val="0032720C"/>
    <w:rsid w:val="00327315"/>
    <w:rsid w:val="00327566"/>
    <w:rsid w:val="00327F72"/>
    <w:rsid w:val="003300DC"/>
    <w:rsid w:val="003302A9"/>
    <w:rsid w:val="00330BAE"/>
    <w:rsid w:val="00330C79"/>
    <w:rsid w:val="00331952"/>
    <w:rsid w:val="00332028"/>
    <w:rsid w:val="00332392"/>
    <w:rsid w:val="00332552"/>
    <w:rsid w:val="0033288C"/>
    <w:rsid w:val="00332D60"/>
    <w:rsid w:val="00332FDE"/>
    <w:rsid w:val="00333507"/>
    <w:rsid w:val="00333A63"/>
    <w:rsid w:val="00334889"/>
    <w:rsid w:val="00334C3F"/>
    <w:rsid w:val="00334C9A"/>
    <w:rsid w:val="00335A43"/>
    <w:rsid w:val="00335B2A"/>
    <w:rsid w:val="00335F73"/>
    <w:rsid w:val="00336090"/>
    <w:rsid w:val="00336183"/>
    <w:rsid w:val="00336395"/>
    <w:rsid w:val="00336C97"/>
    <w:rsid w:val="00337048"/>
    <w:rsid w:val="00337293"/>
    <w:rsid w:val="003372D9"/>
    <w:rsid w:val="003375F3"/>
    <w:rsid w:val="003376D2"/>
    <w:rsid w:val="0033794A"/>
    <w:rsid w:val="00337ED2"/>
    <w:rsid w:val="00337FE5"/>
    <w:rsid w:val="00340421"/>
    <w:rsid w:val="003415DE"/>
    <w:rsid w:val="00342166"/>
    <w:rsid w:val="0034264A"/>
    <w:rsid w:val="0034284E"/>
    <w:rsid w:val="00342B51"/>
    <w:rsid w:val="003431DA"/>
    <w:rsid w:val="00343608"/>
    <w:rsid w:val="003439FF"/>
    <w:rsid w:val="00344518"/>
    <w:rsid w:val="00344950"/>
    <w:rsid w:val="003453B8"/>
    <w:rsid w:val="003453D9"/>
    <w:rsid w:val="003453E5"/>
    <w:rsid w:val="003455E5"/>
    <w:rsid w:val="00345ED0"/>
    <w:rsid w:val="00346176"/>
    <w:rsid w:val="00346605"/>
    <w:rsid w:val="00346608"/>
    <w:rsid w:val="003468C9"/>
    <w:rsid w:val="00347033"/>
    <w:rsid w:val="0034730F"/>
    <w:rsid w:val="00347313"/>
    <w:rsid w:val="00347465"/>
    <w:rsid w:val="00347B89"/>
    <w:rsid w:val="00347F50"/>
    <w:rsid w:val="00347F78"/>
    <w:rsid w:val="00350353"/>
    <w:rsid w:val="00351CC6"/>
    <w:rsid w:val="003527CF"/>
    <w:rsid w:val="00352AC0"/>
    <w:rsid w:val="0035326B"/>
    <w:rsid w:val="003536FB"/>
    <w:rsid w:val="003538BB"/>
    <w:rsid w:val="003538E9"/>
    <w:rsid w:val="00353D92"/>
    <w:rsid w:val="0035433A"/>
    <w:rsid w:val="00355B17"/>
    <w:rsid w:val="00356038"/>
    <w:rsid w:val="00356088"/>
    <w:rsid w:val="003568DD"/>
    <w:rsid w:val="00356990"/>
    <w:rsid w:val="003569CE"/>
    <w:rsid w:val="00356DC2"/>
    <w:rsid w:val="0035752F"/>
    <w:rsid w:val="00357E82"/>
    <w:rsid w:val="00361037"/>
    <w:rsid w:val="0036162D"/>
    <w:rsid w:val="00362106"/>
    <w:rsid w:val="00362180"/>
    <w:rsid w:val="0036222E"/>
    <w:rsid w:val="00362718"/>
    <w:rsid w:val="00362B81"/>
    <w:rsid w:val="003631F7"/>
    <w:rsid w:val="0036357A"/>
    <w:rsid w:val="00363717"/>
    <w:rsid w:val="00363CE2"/>
    <w:rsid w:val="00364023"/>
    <w:rsid w:val="0036458F"/>
    <w:rsid w:val="003648F5"/>
    <w:rsid w:val="00364B06"/>
    <w:rsid w:val="00364E63"/>
    <w:rsid w:val="00365155"/>
    <w:rsid w:val="00365164"/>
    <w:rsid w:val="0036593D"/>
    <w:rsid w:val="00366154"/>
    <w:rsid w:val="003663BE"/>
    <w:rsid w:val="00366594"/>
    <w:rsid w:val="00366AC1"/>
    <w:rsid w:val="00366D54"/>
    <w:rsid w:val="00366D88"/>
    <w:rsid w:val="003673DC"/>
    <w:rsid w:val="00367476"/>
    <w:rsid w:val="00367745"/>
    <w:rsid w:val="00367C1C"/>
    <w:rsid w:val="00367DC6"/>
    <w:rsid w:val="003700D6"/>
    <w:rsid w:val="00370773"/>
    <w:rsid w:val="00370A49"/>
    <w:rsid w:val="00371109"/>
    <w:rsid w:val="0037134C"/>
    <w:rsid w:val="00371A69"/>
    <w:rsid w:val="00371E00"/>
    <w:rsid w:val="00371E20"/>
    <w:rsid w:val="00372DE6"/>
    <w:rsid w:val="00372DFF"/>
    <w:rsid w:val="00372F45"/>
    <w:rsid w:val="00373221"/>
    <w:rsid w:val="00373621"/>
    <w:rsid w:val="003737D8"/>
    <w:rsid w:val="00373B61"/>
    <w:rsid w:val="00373CD8"/>
    <w:rsid w:val="00373D0A"/>
    <w:rsid w:val="00373FFC"/>
    <w:rsid w:val="0037451E"/>
    <w:rsid w:val="00374C3C"/>
    <w:rsid w:val="00375138"/>
    <w:rsid w:val="003754B9"/>
    <w:rsid w:val="00375BED"/>
    <w:rsid w:val="00375C10"/>
    <w:rsid w:val="00375C9D"/>
    <w:rsid w:val="00375D70"/>
    <w:rsid w:val="00376224"/>
    <w:rsid w:val="00376293"/>
    <w:rsid w:val="0037663B"/>
    <w:rsid w:val="003768F8"/>
    <w:rsid w:val="00376961"/>
    <w:rsid w:val="00376B0B"/>
    <w:rsid w:val="003773FB"/>
    <w:rsid w:val="003774F1"/>
    <w:rsid w:val="0037760A"/>
    <w:rsid w:val="00377BD4"/>
    <w:rsid w:val="0038005A"/>
    <w:rsid w:val="00380284"/>
    <w:rsid w:val="00380392"/>
    <w:rsid w:val="003806C0"/>
    <w:rsid w:val="00380B96"/>
    <w:rsid w:val="00380C3A"/>
    <w:rsid w:val="00381646"/>
    <w:rsid w:val="0038171E"/>
    <w:rsid w:val="0038179C"/>
    <w:rsid w:val="00381BA3"/>
    <w:rsid w:val="00382453"/>
    <w:rsid w:val="0038285B"/>
    <w:rsid w:val="00382921"/>
    <w:rsid w:val="00382DC9"/>
    <w:rsid w:val="00383079"/>
    <w:rsid w:val="0038308A"/>
    <w:rsid w:val="0038353A"/>
    <w:rsid w:val="00383663"/>
    <w:rsid w:val="00383CBD"/>
    <w:rsid w:val="00383D05"/>
    <w:rsid w:val="00383F1A"/>
    <w:rsid w:val="00384183"/>
    <w:rsid w:val="0038456F"/>
    <w:rsid w:val="00384ACF"/>
    <w:rsid w:val="00384DFD"/>
    <w:rsid w:val="00385008"/>
    <w:rsid w:val="003856D6"/>
    <w:rsid w:val="00385A7B"/>
    <w:rsid w:val="003864A9"/>
    <w:rsid w:val="00386979"/>
    <w:rsid w:val="00386ACC"/>
    <w:rsid w:val="00386B0F"/>
    <w:rsid w:val="00386EAA"/>
    <w:rsid w:val="00386F5A"/>
    <w:rsid w:val="003873C7"/>
    <w:rsid w:val="00387551"/>
    <w:rsid w:val="00387708"/>
    <w:rsid w:val="00387A43"/>
    <w:rsid w:val="0039058E"/>
    <w:rsid w:val="003905AB"/>
    <w:rsid w:val="00390997"/>
    <w:rsid w:val="0039124E"/>
    <w:rsid w:val="00391401"/>
    <w:rsid w:val="003918D3"/>
    <w:rsid w:val="0039195E"/>
    <w:rsid w:val="00392133"/>
    <w:rsid w:val="0039214B"/>
    <w:rsid w:val="0039257D"/>
    <w:rsid w:val="00392EF7"/>
    <w:rsid w:val="00393033"/>
    <w:rsid w:val="00393433"/>
    <w:rsid w:val="0039349C"/>
    <w:rsid w:val="00393933"/>
    <w:rsid w:val="00393C03"/>
    <w:rsid w:val="00393D33"/>
    <w:rsid w:val="00393EB3"/>
    <w:rsid w:val="00393FD4"/>
    <w:rsid w:val="00393FFC"/>
    <w:rsid w:val="003941FD"/>
    <w:rsid w:val="0039461E"/>
    <w:rsid w:val="00394CF0"/>
    <w:rsid w:val="00394FE9"/>
    <w:rsid w:val="0039608A"/>
    <w:rsid w:val="0039618B"/>
    <w:rsid w:val="003970BB"/>
    <w:rsid w:val="003A0553"/>
    <w:rsid w:val="003A05CC"/>
    <w:rsid w:val="003A06BE"/>
    <w:rsid w:val="003A0CBB"/>
    <w:rsid w:val="003A0DFB"/>
    <w:rsid w:val="003A18C9"/>
    <w:rsid w:val="003A1BF0"/>
    <w:rsid w:val="003A21D2"/>
    <w:rsid w:val="003A2755"/>
    <w:rsid w:val="003A2B5D"/>
    <w:rsid w:val="003A37CC"/>
    <w:rsid w:val="003A3B60"/>
    <w:rsid w:val="003A3C03"/>
    <w:rsid w:val="003A438A"/>
    <w:rsid w:val="003A44D4"/>
    <w:rsid w:val="003A5521"/>
    <w:rsid w:val="003A5BC9"/>
    <w:rsid w:val="003A5C94"/>
    <w:rsid w:val="003A5E3C"/>
    <w:rsid w:val="003A6426"/>
    <w:rsid w:val="003A6639"/>
    <w:rsid w:val="003A6751"/>
    <w:rsid w:val="003A7FF3"/>
    <w:rsid w:val="003B0424"/>
    <w:rsid w:val="003B08BD"/>
    <w:rsid w:val="003B0C13"/>
    <w:rsid w:val="003B12E8"/>
    <w:rsid w:val="003B14AE"/>
    <w:rsid w:val="003B158F"/>
    <w:rsid w:val="003B1D15"/>
    <w:rsid w:val="003B1DC4"/>
    <w:rsid w:val="003B200F"/>
    <w:rsid w:val="003B2351"/>
    <w:rsid w:val="003B23B2"/>
    <w:rsid w:val="003B265A"/>
    <w:rsid w:val="003B2674"/>
    <w:rsid w:val="003B2E3C"/>
    <w:rsid w:val="003B3158"/>
    <w:rsid w:val="003B316F"/>
    <w:rsid w:val="003B332A"/>
    <w:rsid w:val="003B33E0"/>
    <w:rsid w:val="003B3B41"/>
    <w:rsid w:val="003B3FB1"/>
    <w:rsid w:val="003B43DA"/>
    <w:rsid w:val="003B453A"/>
    <w:rsid w:val="003B463F"/>
    <w:rsid w:val="003B474A"/>
    <w:rsid w:val="003B4B7E"/>
    <w:rsid w:val="003B5374"/>
    <w:rsid w:val="003B5606"/>
    <w:rsid w:val="003B586F"/>
    <w:rsid w:val="003B5C11"/>
    <w:rsid w:val="003B5F81"/>
    <w:rsid w:val="003B618D"/>
    <w:rsid w:val="003B6D4A"/>
    <w:rsid w:val="003B6DF1"/>
    <w:rsid w:val="003B6F23"/>
    <w:rsid w:val="003B7388"/>
    <w:rsid w:val="003B796D"/>
    <w:rsid w:val="003B7BE7"/>
    <w:rsid w:val="003C05E2"/>
    <w:rsid w:val="003C087F"/>
    <w:rsid w:val="003C0A25"/>
    <w:rsid w:val="003C1A89"/>
    <w:rsid w:val="003C1B05"/>
    <w:rsid w:val="003C228D"/>
    <w:rsid w:val="003C25DF"/>
    <w:rsid w:val="003C2724"/>
    <w:rsid w:val="003C2E9E"/>
    <w:rsid w:val="003C2FF6"/>
    <w:rsid w:val="003C3063"/>
    <w:rsid w:val="003C327A"/>
    <w:rsid w:val="003C34CB"/>
    <w:rsid w:val="003C3E56"/>
    <w:rsid w:val="003C4638"/>
    <w:rsid w:val="003C46C2"/>
    <w:rsid w:val="003C473A"/>
    <w:rsid w:val="003C48ED"/>
    <w:rsid w:val="003C4B17"/>
    <w:rsid w:val="003C4F1A"/>
    <w:rsid w:val="003C541C"/>
    <w:rsid w:val="003C5930"/>
    <w:rsid w:val="003C5F12"/>
    <w:rsid w:val="003C6B3D"/>
    <w:rsid w:val="003C6F55"/>
    <w:rsid w:val="003C773C"/>
    <w:rsid w:val="003C77FC"/>
    <w:rsid w:val="003C79E0"/>
    <w:rsid w:val="003D03A2"/>
    <w:rsid w:val="003D0C42"/>
    <w:rsid w:val="003D0E63"/>
    <w:rsid w:val="003D1105"/>
    <w:rsid w:val="003D1765"/>
    <w:rsid w:val="003D2B31"/>
    <w:rsid w:val="003D3193"/>
    <w:rsid w:val="003D333A"/>
    <w:rsid w:val="003D341B"/>
    <w:rsid w:val="003D3DCD"/>
    <w:rsid w:val="003D4696"/>
    <w:rsid w:val="003D46AD"/>
    <w:rsid w:val="003D48D4"/>
    <w:rsid w:val="003D4ABB"/>
    <w:rsid w:val="003D50A9"/>
    <w:rsid w:val="003D5A84"/>
    <w:rsid w:val="003D6146"/>
    <w:rsid w:val="003D63AD"/>
    <w:rsid w:val="003D654F"/>
    <w:rsid w:val="003D6AB2"/>
    <w:rsid w:val="003D6F4B"/>
    <w:rsid w:val="003D72E8"/>
    <w:rsid w:val="003D7308"/>
    <w:rsid w:val="003E02A3"/>
    <w:rsid w:val="003E09AA"/>
    <w:rsid w:val="003E0C5B"/>
    <w:rsid w:val="003E0F83"/>
    <w:rsid w:val="003E128E"/>
    <w:rsid w:val="003E1535"/>
    <w:rsid w:val="003E24F2"/>
    <w:rsid w:val="003E2B5D"/>
    <w:rsid w:val="003E3014"/>
    <w:rsid w:val="003E3392"/>
    <w:rsid w:val="003E36D2"/>
    <w:rsid w:val="003E3C64"/>
    <w:rsid w:val="003E4534"/>
    <w:rsid w:val="003E46C4"/>
    <w:rsid w:val="003E49F7"/>
    <w:rsid w:val="003E51F5"/>
    <w:rsid w:val="003E577A"/>
    <w:rsid w:val="003E5F87"/>
    <w:rsid w:val="003E606B"/>
    <w:rsid w:val="003E607A"/>
    <w:rsid w:val="003E6274"/>
    <w:rsid w:val="003E6515"/>
    <w:rsid w:val="003E6541"/>
    <w:rsid w:val="003E661A"/>
    <w:rsid w:val="003E6839"/>
    <w:rsid w:val="003E7100"/>
    <w:rsid w:val="003E7236"/>
    <w:rsid w:val="003E7292"/>
    <w:rsid w:val="003E7342"/>
    <w:rsid w:val="003E762F"/>
    <w:rsid w:val="003E7807"/>
    <w:rsid w:val="003E7ADF"/>
    <w:rsid w:val="003E7CAA"/>
    <w:rsid w:val="003F010A"/>
    <w:rsid w:val="003F034F"/>
    <w:rsid w:val="003F0EE6"/>
    <w:rsid w:val="003F111B"/>
    <w:rsid w:val="003F1B48"/>
    <w:rsid w:val="003F1F4B"/>
    <w:rsid w:val="003F22E7"/>
    <w:rsid w:val="003F240C"/>
    <w:rsid w:val="003F2877"/>
    <w:rsid w:val="003F28D0"/>
    <w:rsid w:val="003F2928"/>
    <w:rsid w:val="003F2C22"/>
    <w:rsid w:val="003F2CB4"/>
    <w:rsid w:val="003F338E"/>
    <w:rsid w:val="003F3C32"/>
    <w:rsid w:val="003F3D8B"/>
    <w:rsid w:val="003F3DD9"/>
    <w:rsid w:val="003F46CF"/>
    <w:rsid w:val="003F4C4D"/>
    <w:rsid w:val="003F4E2B"/>
    <w:rsid w:val="003F51F3"/>
    <w:rsid w:val="003F53F6"/>
    <w:rsid w:val="003F5B19"/>
    <w:rsid w:val="003F5D29"/>
    <w:rsid w:val="003F5EC3"/>
    <w:rsid w:val="003F61B0"/>
    <w:rsid w:val="003F661C"/>
    <w:rsid w:val="003F6E3E"/>
    <w:rsid w:val="003F7290"/>
    <w:rsid w:val="003F7328"/>
    <w:rsid w:val="003F758D"/>
    <w:rsid w:val="003F759B"/>
    <w:rsid w:val="003F7BE1"/>
    <w:rsid w:val="003F7E2B"/>
    <w:rsid w:val="004008E9"/>
    <w:rsid w:val="00400A91"/>
    <w:rsid w:val="00400CA2"/>
    <w:rsid w:val="0040103C"/>
    <w:rsid w:val="0040108D"/>
    <w:rsid w:val="00401265"/>
    <w:rsid w:val="00401C6F"/>
    <w:rsid w:val="004022EC"/>
    <w:rsid w:val="004027C1"/>
    <w:rsid w:val="00403032"/>
    <w:rsid w:val="00404031"/>
    <w:rsid w:val="00404945"/>
    <w:rsid w:val="00404A85"/>
    <w:rsid w:val="00404EFC"/>
    <w:rsid w:val="00405264"/>
    <w:rsid w:val="0040545A"/>
    <w:rsid w:val="00406078"/>
    <w:rsid w:val="004062F8"/>
    <w:rsid w:val="00406785"/>
    <w:rsid w:val="004067A7"/>
    <w:rsid w:val="00406818"/>
    <w:rsid w:val="00406AA2"/>
    <w:rsid w:val="00406E87"/>
    <w:rsid w:val="00407638"/>
    <w:rsid w:val="00410867"/>
    <w:rsid w:val="00410A1C"/>
    <w:rsid w:val="00410AA1"/>
    <w:rsid w:val="00410C0D"/>
    <w:rsid w:val="0041174D"/>
    <w:rsid w:val="004117FE"/>
    <w:rsid w:val="00411AE9"/>
    <w:rsid w:val="00411D9B"/>
    <w:rsid w:val="00412C2C"/>
    <w:rsid w:val="00412D1A"/>
    <w:rsid w:val="00412D51"/>
    <w:rsid w:val="0041354A"/>
    <w:rsid w:val="00413905"/>
    <w:rsid w:val="00413A9D"/>
    <w:rsid w:val="00413AE2"/>
    <w:rsid w:val="00413E33"/>
    <w:rsid w:val="00413F56"/>
    <w:rsid w:val="004140E4"/>
    <w:rsid w:val="0041428B"/>
    <w:rsid w:val="00414EAB"/>
    <w:rsid w:val="004152E9"/>
    <w:rsid w:val="004153A9"/>
    <w:rsid w:val="004155AA"/>
    <w:rsid w:val="00415CBD"/>
    <w:rsid w:val="00415E40"/>
    <w:rsid w:val="00415EF5"/>
    <w:rsid w:val="00416033"/>
    <w:rsid w:val="0041603E"/>
    <w:rsid w:val="0041650E"/>
    <w:rsid w:val="00416ED8"/>
    <w:rsid w:val="0041728D"/>
    <w:rsid w:val="00417C05"/>
    <w:rsid w:val="00417E99"/>
    <w:rsid w:val="00420464"/>
    <w:rsid w:val="00420949"/>
    <w:rsid w:val="00421866"/>
    <w:rsid w:val="00421E74"/>
    <w:rsid w:val="00422D58"/>
    <w:rsid w:val="00422EEC"/>
    <w:rsid w:val="00422F2F"/>
    <w:rsid w:val="0042330A"/>
    <w:rsid w:val="00423349"/>
    <w:rsid w:val="0042390B"/>
    <w:rsid w:val="00424079"/>
    <w:rsid w:val="00424804"/>
    <w:rsid w:val="00424A07"/>
    <w:rsid w:val="00425A9D"/>
    <w:rsid w:val="00425B57"/>
    <w:rsid w:val="00425DFD"/>
    <w:rsid w:val="00425EE3"/>
    <w:rsid w:val="00426227"/>
    <w:rsid w:val="0042629C"/>
    <w:rsid w:val="00426546"/>
    <w:rsid w:val="004265A2"/>
    <w:rsid w:val="0042734E"/>
    <w:rsid w:val="0042747F"/>
    <w:rsid w:val="004274ED"/>
    <w:rsid w:val="00427B5D"/>
    <w:rsid w:val="00430041"/>
    <w:rsid w:val="004309E7"/>
    <w:rsid w:val="00430C8C"/>
    <w:rsid w:val="00430E06"/>
    <w:rsid w:val="00430E40"/>
    <w:rsid w:val="004319C3"/>
    <w:rsid w:val="00431DED"/>
    <w:rsid w:val="0043219D"/>
    <w:rsid w:val="00432490"/>
    <w:rsid w:val="004325DC"/>
    <w:rsid w:val="0043288A"/>
    <w:rsid w:val="00432985"/>
    <w:rsid w:val="004333EA"/>
    <w:rsid w:val="00434C2C"/>
    <w:rsid w:val="00434CB4"/>
    <w:rsid w:val="004355FA"/>
    <w:rsid w:val="0043570A"/>
    <w:rsid w:val="0043578F"/>
    <w:rsid w:val="00436161"/>
    <w:rsid w:val="0043619E"/>
    <w:rsid w:val="00436679"/>
    <w:rsid w:val="00436CCD"/>
    <w:rsid w:val="004374D6"/>
    <w:rsid w:val="00437763"/>
    <w:rsid w:val="00437819"/>
    <w:rsid w:val="00437AF6"/>
    <w:rsid w:val="00437F3E"/>
    <w:rsid w:val="0044054A"/>
    <w:rsid w:val="004405A9"/>
    <w:rsid w:val="00440932"/>
    <w:rsid w:val="00440E49"/>
    <w:rsid w:val="004412AD"/>
    <w:rsid w:val="0044134C"/>
    <w:rsid w:val="00441386"/>
    <w:rsid w:val="004415B4"/>
    <w:rsid w:val="0044177B"/>
    <w:rsid w:val="00441A95"/>
    <w:rsid w:val="00441B43"/>
    <w:rsid w:val="00441C17"/>
    <w:rsid w:val="00442097"/>
    <w:rsid w:val="0044238A"/>
    <w:rsid w:val="00442439"/>
    <w:rsid w:val="00442508"/>
    <w:rsid w:val="0044287E"/>
    <w:rsid w:val="0044289C"/>
    <w:rsid w:val="00442907"/>
    <w:rsid w:val="00442CA1"/>
    <w:rsid w:val="00443B5D"/>
    <w:rsid w:val="00443BA6"/>
    <w:rsid w:val="00443D28"/>
    <w:rsid w:val="0044420D"/>
    <w:rsid w:val="00444416"/>
    <w:rsid w:val="00444626"/>
    <w:rsid w:val="0044465E"/>
    <w:rsid w:val="004448C6"/>
    <w:rsid w:val="004449BE"/>
    <w:rsid w:val="00444F04"/>
    <w:rsid w:val="00445055"/>
    <w:rsid w:val="004454A4"/>
    <w:rsid w:val="004454A7"/>
    <w:rsid w:val="00445561"/>
    <w:rsid w:val="0044564C"/>
    <w:rsid w:val="004456A0"/>
    <w:rsid w:val="00445B7B"/>
    <w:rsid w:val="00445C6F"/>
    <w:rsid w:val="00445FE9"/>
    <w:rsid w:val="00446650"/>
    <w:rsid w:val="004467FF"/>
    <w:rsid w:val="00446803"/>
    <w:rsid w:val="00446D28"/>
    <w:rsid w:val="00446FEB"/>
    <w:rsid w:val="0044721C"/>
    <w:rsid w:val="00447C3A"/>
    <w:rsid w:val="00447E86"/>
    <w:rsid w:val="00447EBC"/>
    <w:rsid w:val="00447F36"/>
    <w:rsid w:val="00450A81"/>
    <w:rsid w:val="00450FD6"/>
    <w:rsid w:val="0045177F"/>
    <w:rsid w:val="004518A6"/>
    <w:rsid w:val="004519AB"/>
    <w:rsid w:val="00451B3D"/>
    <w:rsid w:val="00451B52"/>
    <w:rsid w:val="00451CF9"/>
    <w:rsid w:val="00451EF6"/>
    <w:rsid w:val="004520E0"/>
    <w:rsid w:val="004521FC"/>
    <w:rsid w:val="004527CE"/>
    <w:rsid w:val="00452A28"/>
    <w:rsid w:val="00452D69"/>
    <w:rsid w:val="00452E16"/>
    <w:rsid w:val="00453471"/>
    <w:rsid w:val="00453D6D"/>
    <w:rsid w:val="00453E45"/>
    <w:rsid w:val="00453E53"/>
    <w:rsid w:val="00454713"/>
    <w:rsid w:val="00454788"/>
    <w:rsid w:val="004548E6"/>
    <w:rsid w:val="00454CDC"/>
    <w:rsid w:val="004550BC"/>
    <w:rsid w:val="00455943"/>
    <w:rsid w:val="00456475"/>
    <w:rsid w:val="004568CF"/>
    <w:rsid w:val="00456E68"/>
    <w:rsid w:val="004578B5"/>
    <w:rsid w:val="00457C1B"/>
    <w:rsid w:val="00460694"/>
    <w:rsid w:val="0046072A"/>
    <w:rsid w:val="00460860"/>
    <w:rsid w:val="004609A9"/>
    <w:rsid w:val="0046117C"/>
    <w:rsid w:val="004611DE"/>
    <w:rsid w:val="0046133B"/>
    <w:rsid w:val="0046137B"/>
    <w:rsid w:val="0046141A"/>
    <w:rsid w:val="004615A3"/>
    <w:rsid w:val="004618D2"/>
    <w:rsid w:val="00461B36"/>
    <w:rsid w:val="00461D6F"/>
    <w:rsid w:val="0046248F"/>
    <w:rsid w:val="004627F6"/>
    <w:rsid w:val="00462834"/>
    <w:rsid w:val="00462CEC"/>
    <w:rsid w:val="00462EE9"/>
    <w:rsid w:val="00463228"/>
    <w:rsid w:val="0046349C"/>
    <w:rsid w:val="00463520"/>
    <w:rsid w:val="00463651"/>
    <w:rsid w:val="00464234"/>
    <w:rsid w:val="00465208"/>
    <w:rsid w:val="0046541D"/>
    <w:rsid w:val="00465710"/>
    <w:rsid w:val="00465B8F"/>
    <w:rsid w:val="00465C2D"/>
    <w:rsid w:val="00465C38"/>
    <w:rsid w:val="004669DC"/>
    <w:rsid w:val="00466CDB"/>
    <w:rsid w:val="00466D9C"/>
    <w:rsid w:val="00466F28"/>
    <w:rsid w:val="00467301"/>
    <w:rsid w:val="004674D7"/>
    <w:rsid w:val="004676A8"/>
    <w:rsid w:val="0046776B"/>
    <w:rsid w:val="0046788C"/>
    <w:rsid w:val="00467F03"/>
    <w:rsid w:val="0047038E"/>
    <w:rsid w:val="00470A72"/>
    <w:rsid w:val="00470CAA"/>
    <w:rsid w:val="00470F27"/>
    <w:rsid w:val="00471907"/>
    <w:rsid w:val="00471EBD"/>
    <w:rsid w:val="00471FAE"/>
    <w:rsid w:val="004721BE"/>
    <w:rsid w:val="00472235"/>
    <w:rsid w:val="00472B72"/>
    <w:rsid w:val="004731D4"/>
    <w:rsid w:val="00473A83"/>
    <w:rsid w:val="00473D1C"/>
    <w:rsid w:val="004741B2"/>
    <w:rsid w:val="004744F1"/>
    <w:rsid w:val="004749A4"/>
    <w:rsid w:val="00474B44"/>
    <w:rsid w:val="00474B9A"/>
    <w:rsid w:val="00474F50"/>
    <w:rsid w:val="004750BC"/>
    <w:rsid w:val="004750C2"/>
    <w:rsid w:val="0047692F"/>
    <w:rsid w:val="00476C81"/>
    <w:rsid w:val="004771C2"/>
    <w:rsid w:val="00477436"/>
    <w:rsid w:val="00477787"/>
    <w:rsid w:val="00480040"/>
    <w:rsid w:val="004803F8"/>
    <w:rsid w:val="00480639"/>
    <w:rsid w:val="004807BA"/>
    <w:rsid w:val="0048080C"/>
    <w:rsid w:val="00480909"/>
    <w:rsid w:val="00481134"/>
    <w:rsid w:val="004813DD"/>
    <w:rsid w:val="00481413"/>
    <w:rsid w:val="00481925"/>
    <w:rsid w:val="00481983"/>
    <w:rsid w:val="00482065"/>
    <w:rsid w:val="004824AC"/>
    <w:rsid w:val="0048258B"/>
    <w:rsid w:val="0048259D"/>
    <w:rsid w:val="004825BF"/>
    <w:rsid w:val="00482B57"/>
    <w:rsid w:val="00482E09"/>
    <w:rsid w:val="00483202"/>
    <w:rsid w:val="00483705"/>
    <w:rsid w:val="0048377E"/>
    <w:rsid w:val="0048382E"/>
    <w:rsid w:val="00484052"/>
    <w:rsid w:val="00484379"/>
    <w:rsid w:val="0048454A"/>
    <w:rsid w:val="00484598"/>
    <w:rsid w:val="00484DB1"/>
    <w:rsid w:val="00485190"/>
    <w:rsid w:val="00485877"/>
    <w:rsid w:val="0048600D"/>
    <w:rsid w:val="004868AF"/>
    <w:rsid w:val="00486FD7"/>
    <w:rsid w:val="00487077"/>
    <w:rsid w:val="00487176"/>
    <w:rsid w:val="004874D5"/>
    <w:rsid w:val="00487541"/>
    <w:rsid w:val="00487DCE"/>
    <w:rsid w:val="00487E3D"/>
    <w:rsid w:val="00487F09"/>
    <w:rsid w:val="0049014B"/>
    <w:rsid w:val="0049038B"/>
    <w:rsid w:val="004907FF"/>
    <w:rsid w:val="0049093F"/>
    <w:rsid w:val="004913B7"/>
    <w:rsid w:val="00491762"/>
    <w:rsid w:val="00491811"/>
    <w:rsid w:val="00491D3C"/>
    <w:rsid w:val="00492A88"/>
    <w:rsid w:val="00492E7A"/>
    <w:rsid w:val="004936EA"/>
    <w:rsid w:val="00494321"/>
    <w:rsid w:val="004943D0"/>
    <w:rsid w:val="00494AFB"/>
    <w:rsid w:val="00494C81"/>
    <w:rsid w:val="00494FC5"/>
    <w:rsid w:val="00495269"/>
    <w:rsid w:val="00495488"/>
    <w:rsid w:val="00495661"/>
    <w:rsid w:val="00495A09"/>
    <w:rsid w:val="00495A70"/>
    <w:rsid w:val="0049652F"/>
    <w:rsid w:val="00496669"/>
    <w:rsid w:val="004967E2"/>
    <w:rsid w:val="00496EB6"/>
    <w:rsid w:val="004971AC"/>
    <w:rsid w:val="00497936"/>
    <w:rsid w:val="00497FA4"/>
    <w:rsid w:val="004A05FF"/>
    <w:rsid w:val="004A061A"/>
    <w:rsid w:val="004A0A25"/>
    <w:rsid w:val="004A1056"/>
    <w:rsid w:val="004A1099"/>
    <w:rsid w:val="004A1298"/>
    <w:rsid w:val="004A15F1"/>
    <w:rsid w:val="004A16C8"/>
    <w:rsid w:val="004A1928"/>
    <w:rsid w:val="004A2446"/>
    <w:rsid w:val="004A2498"/>
    <w:rsid w:val="004A2681"/>
    <w:rsid w:val="004A27F8"/>
    <w:rsid w:val="004A3640"/>
    <w:rsid w:val="004A3A56"/>
    <w:rsid w:val="004A4722"/>
    <w:rsid w:val="004A478C"/>
    <w:rsid w:val="004A4B78"/>
    <w:rsid w:val="004A4C1B"/>
    <w:rsid w:val="004A4EF3"/>
    <w:rsid w:val="004A5642"/>
    <w:rsid w:val="004A5F96"/>
    <w:rsid w:val="004A70AC"/>
    <w:rsid w:val="004A732F"/>
    <w:rsid w:val="004A752F"/>
    <w:rsid w:val="004A7691"/>
    <w:rsid w:val="004A7C6A"/>
    <w:rsid w:val="004A7D52"/>
    <w:rsid w:val="004B02B6"/>
    <w:rsid w:val="004B03A8"/>
    <w:rsid w:val="004B0793"/>
    <w:rsid w:val="004B07B1"/>
    <w:rsid w:val="004B0A8F"/>
    <w:rsid w:val="004B0FBE"/>
    <w:rsid w:val="004B10B0"/>
    <w:rsid w:val="004B1103"/>
    <w:rsid w:val="004B11D3"/>
    <w:rsid w:val="004B1748"/>
    <w:rsid w:val="004B1796"/>
    <w:rsid w:val="004B2990"/>
    <w:rsid w:val="004B2A25"/>
    <w:rsid w:val="004B2EF9"/>
    <w:rsid w:val="004B2FD3"/>
    <w:rsid w:val="004B32AC"/>
    <w:rsid w:val="004B332B"/>
    <w:rsid w:val="004B387A"/>
    <w:rsid w:val="004B3C64"/>
    <w:rsid w:val="004B401C"/>
    <w:rsid w:val="004B403C"/>
    <w:rsid w:val="004B4343"/>
    <w:rsid w:val="004B45A5"/>
    <w:rsid w:val="004B4B6D"/>
    <w:rsid w:val="004B4D93"/>
    <w:rsid w:val="004B540D"/>
    <w:rsid w:val="004B57EB"/>
    <w:rsid w:val="004B5B66"/>
    <w:rsid w:val="004B5FDA"/>
    <w:rsid w:val="004B6273"/>
    <w:rsid w:val="004B6CD6"/>
    <w:rsid w:val="004B6DD3"/>
    <w:rsid w:val="004B6DD6"/>
    <w:rsid w:val="004B6FD1"/>
    <w:rsid w:val="004B7014"/>
    <w:rsid w:val="004B70D6"/>
    <w:rsid w:val="004B715C"/>
    <w:rsid w:val="004B77A1"/>
    <w:rsid w:val="004B7D3D"/>
    <w:rsid w:val="004B7D5D"/>
    <w:rsid w:val="004C0C4A"/>
    <w:rsid w:val="004C12A5"/>
    <w:rsid w:val="004C152D"/>
    <w:rsid w:val="004C183B"/>
    <w:rsid w:val="004C1900"/>
    <w:rsid w:val="004C25EB"/>
    <w:rsid w:val="004C26B4"/>
    <w:rsid w:val="004C2767"/>
    <w:rsid w:val="004C2C99"/>
    <w:rsid w:val="004C3481"/>
    <w:rsid w:val="004C3D48"/>
    <w:rsid w:val="004C4841"/>
    <w:rsid w:val="004C49C4"/>
    <w:rsid w:val="004C4B2C"/>
    <w:rsid w:val="004C4BCD"/>
    <w:rsid w:val="004C5233"/>
    <w:rsid w:val="004C5987"/>
    <w:rsid w:val="004C5D33"/>
    <w:rsid w:val="004C5D6E"/>
    <w:rsid w:val="004C5F2E"/>
    <w:rsid w:val="004C61DB"/>
    <w:rsid w:val="004C6456"/>
    <w:rsid w:val="004C65F9"/>
    <w:rsid w:val="004C6A9F"/>
    <w:rsid w:val="004C6BFA"/>
    <w:rsid w:val="004C71A7"/>
    <w:rsid w:val="004C721D"/>
    <w:rsid w:val="004C7394"/>
    <w:rsid w:val="004C7A3B"/>
    <w:rsid w:val="004D01F1"/>
    <w:rsid w:val="004D05DA"/>
    <w:rsid w:val="004D09F8"/>
    <w:rsid w:val="004D0A42"/>
    <w:rsid w:val="004D0D27"/>
    <w:rsid w:val="004D0D88"/>
    <w:rsid w:val="004D1B7F"/>
    <w:rsid w:val="004D1BB1"/>
    <w:rsid w:val="004D211D"/>
    <w:rsid w:val="004D2971"/>
    <w:rsid w:val="004D2B9F"/>
    <w:rsid w:val="004D2D0E"/>
    <w:rsid w:val="004D34DE"/>
    <w:rsid w:val="004D396A"/>
    <w:rsid w:val="004D4948"/>
    <w:rsid w:val="004D4EDB"/>
    <w:rsid w:val="004D4F6F"/>
    <w:rsid w:val="004D6008"/>
    <w:rsid w:val="004D62C6"/>
    <w:rsid w:val="004D659A"/>
    <w:rsid w:val="004D7C78"/>
    <w:rsid w:val="004D7DFB"/>
    <w:rsid w:val="004D7F18"/>
    <w:rsid w:val="004E0812"/>
    <w:rsid w:val="004E08DD"/>
    <w:rsid w:val="004E0C30"/>
    <w:rsid w:val="004E0EA2"/>
    <w:rsid w:val="004E10C4"/>
    <w:rsid w:val="004E19D1"/>
    <w:rsid w:val="004E20ED"/>
    <w:rsid w:val="004E29A2"/>
    <w:rsid w:val="004E2BD2"/>
    <w:rsid w:val="004E2CD8"/>
    <w:rsid w:val="004E2D58"/>
    <w:rsid w:val="004E2E69"/>
    <w:rsid w:val="004E2F75"/>
    <w:rsid w:val="004E309F"/>
    <w:rsid w:val="004E365F"/>
    <w:rsid w:val="004E3A75"/>
    <w:rsid w:val="004E3D49"/>
    <w:rsid w:val="004E3D8C"/>
    <w:rsid w:val="004E3F03"/>
    <w:rsid w:val="004E510B"/>
    <w:rsid w:val="004E56D7"/>
    <w:rsid w:val="004E59CE"/>
    <w:rsid w:val="004E5C46"/>
    <w:rsid w:val="004E6820"/>
    <w:rsid w:val="004E701F"/>
    <w:rsid w:val="004E760A"/>
    <w:rsid w:val="004E7672"/>
    <w:rsid w:val="004E781E"/>
    <w:rsid w:val="004E7996"/>
    <w:rsid w:val="004E7E9E"/>
    <w:rsid w:val="004F001E"/>
    <w:rsid w:val="004F00BE"/>
    <w:rsid w:val="004F018F"/>
    <w:rsid w:val="004F01A7"/>
    <w:rsid w:val="004F04D6"/>
    <w:rsid w:val="004F0DDB"/>
    <w:rsid w:val="004F144B"/>
    <w:rsid w:val="004F1857"/>
    <w:rsid w:val="004F1AA8"/>
    <w:rsid w:val="004F2077"/>
    <w:rsid w:val="004F2200"/>
    <w:rsid w:val="004F281F"/>
    <w:rsid w:val="004F2E27"/>
    <w:rsid w:val="004F2F9D"/>
    <w:rsid w:val="004F34D1"/>
    <w:rsid w:val="004F37DD"/>
    <w:rsid w:val="004F3832"/>
    <w:rsid w:val="004F39B0"/>
    <w:rsid w:val="004F406B"/>
    <w:rsid w:val="004F4794"/>
    <w:rsid w:val="004F4886"/>
    <w:rsid w:val="004F4998"/>
    <w:rsid w:val="004F4AFD"/>
    <w:rsid w:val="004F536F"/>
    <w:rsid w:val="004F5529"/>
    <w:rsid w:val="004F6425"/>
    <w:rsid w:val="004F6DF1"/>
    <w:rsid w:val="004F6EBD"/>
    <w:rsid w:val="004F70F7"/>
    <w:rsid w:val="004F751B"/>
    <w:rsid w:val="004F7671"/>
    <w:rsid w:val="004F7CB9"/>
    <w:rsid w:val="00500AF6"/>
    <w:rsid w:val="00501451"/>
    <w:rsid w:val="005016AB"/>
    <w:rsid w:val="00502511"/>
    <w:rsid w:val="00502A35"/>
    <w:rsid w:val="00502B22"/>
    <w:rsid w:val="00502BF0"/>
    <w:rsid w:val="0050310D"/>
    <w:rsid w:val="005033AD"/>
    <w:rsid w:val="00503424"/>
    <w:rsid w:val="005034E8"/>
    <w:rsid w:val="005040A6"/>
    <w:rsid w:val="00504760"/>
    <w:rsid w:val="00504772"/>
    <w:rsid w:val="00504836"/>
    <w:rsid w:val="005048D4"/>
    <w:rsid w:val="00504F62"/>
    <w:rsid w:val="00505362"/>
    <w:rsid w:val="0050559A"/>
    <w:rsid w:val="0050568B"/>
    <w:rsid w:val="00505A20"/>
    <w:rsid w:val="00505AAE"/>
    <w:rsid w:val="00505F01"/>
    <w:rsid w:val="00506176"/>
    <w:rsid w:val="00506237"/>
    <w:rsid w:val="00506731"/>
    <w:rsid w:val="00506C2E"/>
    <w:rsid w:val="00506CFF"/>
    <w:rsid w:val="00506D0C"/>
    <w:rsid w:val="00506D72"/>
    <w:rsid w:val="00506FCA"/>
    <w:rsid w:val="0050702F"/>
    <w:rsid w:val="005070A1"/>
    <w:rsid w:val="005077DA"/>
    <w:rsid w:val="00507BBD"/>
    <w:rsid w:val="00507FE1"/>
    <w:rsid w:val="0051056F"/>
    <w:rsid w:val="0051065A"/>
    <w:rsid w:val="0051075B"/>
    <w:rsid w:val="0051079C"/>
    <w:rsid w:val="00510860"/>
    <w:rsid w:val="00510AF3"/>
    <w:rsid w:val="005114E4"/>
    <w:rsid w:val="00512063"/>
    <w:rsid w:val="005123E8"/>
    <w:rsid w:val="0051241A"/>
    <w:rsid w:val="00512702"/>
    <w:rsid w:val="0051312E"/>
    <w:rsid w:val="00513185"/>
    <w:rsid w:val="005136B2"/>
    <w:rsid w:val="00513B4E"/>
    <w:rsid w:val="00514348"/>
    <w:rsid w:val="00514E7D"/>
    <w:rsid w:val="005159D5"/>
    <w:rsid w:val="00515D63"/>
    <w:rsid w:val="00516177"/>
    <w:rsid w:val="0051690D"/>
    <w:rsid w:val="00516943"/>
    <w:rsid w:val="00516A49"/>
    <w:rsid w:val="0051751C"/>
    <w:rsid w:val="0051764D"/>
    <w:rsid w:val="00517741"/>
    <w:rsid w:val="00520AD8"/>
    <w:rsid w:val="00520C92"/>
    <w:rsid w:val="0052130C"/>
    <w:rsid w:val="005213F7"/>
    <w:rsid w:val="0052147A"/>
    <w:rsid w:val="005215AF"/>
    <w:rsid w:val="00521A51"/>
    <w:rsid w:val="00521A9D"/>
    <w:rsid w:val="00521E19"/>
    <w:rsid w:val="00522248"/>
    <w:rsid w:val="005224C7"/>
    <w:rsid w:val="0052281B"/>
    <w:rsid w:val="00522F78"/>
    <w:rsid w:val="005231F1"/>
    <w:rsid w:val="00523460"/>
    <w:rsid w:val="00523484"/>
    <w:rsid w:val="005234BB"/>
    <w:rsid w:val="00523928"/>
    <w:rsid w:val="00524142"/>
    <w:rsid w:val="005247ED"/>
    <w:rsid w:val="005249B0"/>
    <w:rsid w:val="0052591A"/>
    <w:rsid w:val="005259C3"/>
    <w:rsid w:val="00525A6A"/>
    <w:rsid w:val="00525B92"/>
    <w:rsid w:val="00525FC7"/>
    <w:rsid w:val="0052620E"/>
    <w:rsid w:val="005264DE"/>
    <w:rsid w:val="005265AB"/>
    <w:rsid w:val="00526829"/>
    <w:rsid w:val="00526BEA"/>
    <w:rsid w:val="00526E66"/>
    <w:rsid w:val="00527148"/>
    <w:rsid w:val="005277A5"/>
    <w:rsid w:val="005278EA"/>
    <w:rsid w:val="00527A9B"/>
    <w:rsid w:val="00527FBC"/>
    <w:rsid w:val="005301D1"/>
    <w:rsid w:val="00530333"/>
    <w:rsid w:val="00530388"/>
    <w:rsid w:val="0053048F"/>
    <w:rsid w:val="00530549"/>
    <w:rsid w:val="0053068F"/>
    <w:rsid w:val="00530898"/>
    <w:rsid w:val="005308E3"/>
    <w:rsid w:val="00530988"/>
    <w:rsid w:val="005312ED"/>
    <w:rsid w:val="00531DBD"/>
    <w:rsid w:val="00531DC6"/>
    <w:rsid w:val="00532031"/>
    <w:rsid w:val="00532236"/>
    <w:rsid w:val="00532530"/>
    <w:rsid w:val="00532A6B"/>
    <w:rsid w:val="00532C17"/>
    <w:rsid w:val="00532EFD"/>
    <w:rsid w:val="005343D9"/>
    <w:rsid w:val="00534ACC"/>
    <w:rsid w:val="00534E0F"/>
    <w:rsid w:val="00535699"/>
    <w:rsid w:val="00535B0E"/>
    <w:rsid w:val="00535E12"/>
    <w:rsid w:val="0053684D"/>
    <w:rsid w:val="00536AEB"/>
    <w:rsid w:val="00536F96"/>
    <w:rsid w:val="00537878"/>
    <w:rsid w:val="005379F2"/>
    <w:rsid w:val="0054048D"/>
    <w:rsid w:val="0054080A"/>
    <w:rsid w:val="00540B1B"/>
    <w:rsid w:val="00540E10"/>
    <w:rsid w:val="00540F2C"/>
    <w:rsid w:val="00541316"/>
    <w:rsid w:val="005413BD"/>
    <w:rsid w:val="00541472"/>
    <w:rsid w:val="005417CB"/>
    <w:rsid w:val="00541A2B"/>
    <w:rsid w:val="00542077"/>
    <w:rsid w:val="005420A5"/>
    <w:rsid w:val="005427CD"/>
    <w:rsid w:val="00542818"/>
    <w:rsid w:val="0054297C"/>
    <w:rsid w:val="00542F68"/>
    <w:rsid w:val="00543CC0"/>
    <w:rsid w:val="00544046"/>
    <w:rsid w:val="005444B0"/>
    <w:rsid w:val="00544C5B"/>
    <w:rsid w:val="005458BF"/>
    <w:rsid w:val="00545A1C"/>
    <w:rsid w:val="00545A52"/>
    <w:rsid w:val="00545C67"/>
    <w:rsid w:val="00545D3E"/>
    <w:rsid w:val="00546700"/>
    <w:rsid w:val="00546883"/>
    <w:rsid w:val="00546BA2"/>
    <w:rsid w:val="00546EE5"/>
    <w:rsid w:val="00547018"/>
    <w:rsid w:val="00547412"/>
    <w:rsid w:val="00547996"/>
    <w:rsid w:val="00547AA2"/>
    <w:rsid w:val="00547CBA"/>
    <w:rsid w:val="00550133"/>
    <w:rsid w:val="00550189"/>
    <w:rsid w:val="00550BC8"/>
    <w:rsid w:val="005511C8"/>
    <w:rsid w:val="005512AA"/>
    <w:rsid w:val="005513F8"/>
    <w:rsid w:val="005519F1"/>
    <w:rsid w:val="00552473"/>
    <w:rsid w:val="0055262C"/>
    <w:rsid w:val="005527B2"/>
    <w:rsid w:val="005535DA"/>
    <w:rsid w:val="0055377E"/>
    <w:rsid w:val="00553B20"/>
    <w:rsid w:val="00553EDA"/>
    <w:rsid w:val="00553FEB"/>
    <w:rsid w:val="005540D2"/>
    <w:rsid w:val="0055446A"/>
    <w:rsid w:val="005549C9"/>
    <w:rsid w:val="00554E38"/>
    <w:rsid w:val="00555135"/>
    <w:rsid w:val="0055566C"/>
    <w:rsid w:val="005559F8"/>
    <w:rsid w:val="00555A57"/>
    <w:rsid w:val="005567EE"/>
    <w:rsid w:val="005569A6"/>
    <w:rsid w:val="00556CE7"/>
    <w:rsid w:val="00556D17"/>
    <w:rsid w:val="0055761C"/>
    <w:rsid w:val="00557625"/>
    <w:rsid w:val="00557722"/>
    <w:rsid w:val="005577BD"/>
    <w:rsid w:val="00557A14"/>
    <w:rsid w:val="00557AB2"/>
    <w:rsid w:val="00560042"/>
    <w:rsid w:val="005602AA"/>
    <w:rsid w:val="00560D31"/>
    <w:rsid w:val="00561076"/>
    <w:rsid w:val="0056112B"/>
    <w:rsid w:val="0056153F"/>
    <w:rsid w:val="00561942"/>
    <w:rsid w:val="00561DFF"/>
    <w:rsid w:val="00561F36"/>
    <w:rsid w:val="005624C0"/>
    <w:rsid w:val="005626AE"/>
    <w:rsid w:val="00562921"/>
    <w:rsid w:val="00563896"/>
    <w:rsid w:val="0056416E"/>
    <w:rsid w:val="00564623"/>
    <w:rsid w:val="00564EB2"/>
    <w:rsid w:val="00564FF3"/>
    <w:rsid w:val="005650CB"/>
    <w:rsid w:val="00565364"/>
    <w:rsid w:val="00565957"/>
    <w:rsid w:val="00565F84"/>
    <w:rsid w:val="0056617E"/>
    <w:rsid w:val="005661AD"/>
    <w:rsid w:val="0056621B"/>
    <w:rsid w:val="005668E1"/>
    <w:rsid w:val="00566FDD"/>
    <w:rsid w:val="00567395"/>
    <w:rsid w:val="005679BB"/>
    <w:rsid w:val="0057004A"/>
    <w:rsid w:val="005700DB"/>
    <w:rsid w:val="005703EB"/>
    <w:rsid w:val="00570839"/>
    <w:rsid w:val="00570CDA"/>
    <w:rsid w:val="00570FEF"/>
    <w:rsid w:val="00571225"/>
    <w:rsid w:val="00571C30"/>
    <w:rsid w:val="00572283"/>
    <w:rsid w:val="005724E8"/>
    <w:rsid w:val="0057278A"/>
    <w:rsid w:val="00572C99"/>
    <w:rsid w:val="00573357"/>
    <w:rsid w:val="0057352C"/>
    <w:rsid w:val="005739C4"/>
    <w:rsid w:val="00573F86"/>
    <w:rsid w:val="00574481"/>
    <w:rsid w:val="005744E4"/>
    <w:rsid w:val="00574A17"/>
    <w:rsid w:val="00574B6F"/>
    <w:rsid w:val="0057590F"/>
    <w:rsid w:val="00575DB7"/>
    <w:rsid w:val="00575E70"/>
    <w:rsid w:val="005765EA"/>
    <w:rsid w:val="0057712A"/>
    <w:rsid w:val="00577229"/>
    <w:rsid w:val="005773B6"/>
    <w:rsid w:val="005773CD"/>
    <w:rsid w:val="00577AB1"/>
    <w:rsid w:val="00580200"/>
    <w:rsid w:val="00580258"/>
    <w:rsid w:val="0058043F"/>
    <w:rsid w:val="00580BF5"/>
    <w:rsid w:val="00580C1F"/>
    <w:rsid w:val="0058125B"/>
    <w:rsid w:val="0058131F"/>
    <w:rsid w:val="00581F19"/>
    <w:rsid w:val="00581FF1"/>
    <w:rsid w:val="00582696"/>
    <w:rsid w:val="005827C5"/>
    <w:rsid w:val="0058309B"/>
    <w:rsid w:val="00583490"/>
    <w:rsid w:val="005837E9"/>
    <w:rsid w:val="00583971"/>
    <w:rsid w:val="00583A98"/>
    <w:rsid w:val="00583D63"/>
    <w:rsid w:val="00584247"/>
    <w:rsid w:val="00584D1B"/>
    <w:rsid w:val="00584E40"/>
    <w:rsid w:val="00585673"/>
    <w:rsid w:val="00585BBE"/>
    <w:rsid w:val="0058629D"/>
    <w:rsid w:val="00586AE0"/>
    <w:rsid w:val="005871A8"/>
    <w:rsid w:val="005875C3"/>
    <w:rsid w:val="00587E73"/>
    <w:rsid w:val="005902C7"/>
    <w:rsid w:val="00590B60"/>
    <w:rsid w:val="00590D5B"/>
    <w:rsid w:val="005915AB"/>
    <w:rsid w:val="005919A9"/>
    <w:rsid w:val="00591C1C"/>
    <w:rsid w:val="00591EA6"/>
    <w:rsid w:val="00592215"/>
    <w:rsid w:val="005938FD"/>
    <w:rsid w:val="00594183"/>
    <w:rsid w:val="00595080"/>
    <w:rsid w:val="0059548E"/>
    <w:rsid w:val="00595EDA"/>
    <w:rsid w:val="0059674E"/>
    <w:rsid w:val="00596778"/>
    <w:rsid w:val="00596D52"/>
    <w:rsid w:val="005972FE"/>
    <w:rsid w:val="005A0B97"/>
    <w:rsid w:val="005A0B9D"/>
    <w:rsid w:val="005A0C97"/>
    <w:rsid w:val="005A0D62"/>
    <w:rsid w:val="005A0F1B"/>
    <w:rsid w:val="005A1349"/>
    <w:rsid w:val="005A137A"/>
    <w:rsid w:val="005A176F"/>
    <w:rsid w:val="005A1ACA"/>
    <w:rsid w:val="005A1D83"/>
    <w:rsid w:val="005A1F02"/>
    <w:rsid w:val="005A2310"/>
    <w:rsid w:val="005A257B"/>
    <w:rsid w:val="005A3198"/>
    <w:rsid w:val="005A31F8"/>
    <w:rsid w:val="005A33BE"/>
    <w:rsid w:val="005A33FD"/>
    <w:rsid w:val="005A4654"/>
    <w:rsid w:val="005A4E41"/>
    <w:rsid w:val="005A54EB"/>
    <w:rsid w:val="005A5C23"/>
    <w:rsid w:val="005A6008"/>
    <w:rsid w:val="005A60DB"/>
    <w:rsid w:val="005A6206"/>
    <w:rsid w:val="005A73E9"/>
    <w:rsid w:val="005A7934"/>
    <w:rsid w:val="005A7B56"/>
    <w:rsid w:val="005B045D"/>
    <w:rsid w:val="005B06B2"/>
    <w:rsid w:val="005B0B9B"/>
    <w:rsid w:val="005B1132"/>
    <w:rsid w:val="005B1484"/>
    <w:rsid w:val="005B15EB"/>
    <w:rsid w:val="005B1828"/>
    <w:rsid w:val="005B1B44"/>
    <w:rsid w:val="005B2048"/>
    <w:rsid w:val="005B2120"/>
    <w:rsid w:val="005B28EC"/>
    <w:rsid w:val="005B2A46"/>
    <w:rsid w:val="005B30BB"/>
    <w:rsid w:val="005B317A"/>
    <w:rsid w:val="005B34A2"/>
    <w:rsid w:val="005B3538"/>
    <w:rsid w:val="005B4052"/>
    <w:rsid w:val="005B421F"/>
    <w:rsid w:val="005B52C2"/>
    <w:rsid w:val="005B6BA3"/>
    <w:rsid w:val="005B6EAF"/>
    <w:rsid w:val="005B7AF7"/>
    <w:rsid w:val="005B7E0F"/>
    <w:rsid w:val="005C0826"/>
    <w:rsid w:val="005C0C62"/>
    <w:rsid w:val="005C0CAC"/>
    <w:rsid w:val="005C1452"/>
    <w:rsid w:val="005C2815"/>
    <w:rsid w:val="005C29EE"/>
    <w:rsid w:val="005C2AFF"/>
    <w:rsid w:val="005C2B5C"/>
    <w:rsid w:val="005C2EAE"/>
    <w:rsid w:val="005C3037"/>
    <w:rsid w:val="005C36A9"/>
    <w:rsid w:val="005C37CF"/>
    <w:rsid w:val="005C3A34"/>
    <w:rsid w:val="005C433B"/>
    <w:rsid w:val="005C467D"/>
    <w:rsid w:val="005C539B"/>
    <w:rsid w:val="005C53F2"/>
    <w:rsid w:val="005C5812"/>
    <w:rsid w:val="005C6089"/>
    <w:rsid w:val="005C60DF"/>
    <w:rsid w:val="005C6936"/>
    <w:rsid w:val="005C6A17"/>
    <w:rsid w:val="005C6ED8"/>
    <w:rsid w:val="005C7126"/>
    <w:rsid w:val="005C732D"/>
    <w:rsid w:val="005C751B"/>
    <w:rsid w:val="005C7CE8"/>
    <w:rsid w:val="005C7F63"/>
    <w:rsid w:val="005D0477"/>
    <w:rsid w:val="005D0CB2"/>
    <w:rsid w:val="005D12CB"/>
    <w:rsid w:val="005D1489"/>
    <w:rsid w:val="005D1490"/>
    <w:rsid w:val="005D18D4"/>
    <w:rsid w:val="005D1E66"/>
    <w:rsid w:val="005D214B"/>
    <w:rsid w:val="005D215B"/>
    <w:rsid w:val="005D2329"/>
    <w:rsid w:val="005D2450"/>
    <w:rsid w:val="005D2700"/>
    <w:rsid w:val="005D304E"/>
    <w:rsid w:val="005D3320"/>
    <w:rsid w:val="005D3BCF"/>
    <w:rsid w:val="005D3C6B"/>
    <w:rsid w:val="005D442D"/>
    <w:rsid w:val="005D49E6"/>
    <w:rsid w:val="005D4AC1"/>
    <w:rsid w:val="005D4E48"/>
    <w:rsid w:val="005D4EC9"/>
    <w:rsid w:val="005D4ED8"/>
    <w:rsid w:val="005D51EB"/>
    <w:rsid w:val="005D53E4"/>
    <w:rsid w:val="005D561F"/>
    <w:rsid w:val="005D5635"/>
    <w:rsid w:val="005D56B3"/>
    <w:rsid w:val="005D67AF"/>
    <w:rsid w:val="005D69BA"/>
    <w:rsid w:val="005D6FBB"/>
    <w:rsid w:val="005D72B1"/>
    <w:rsid w:val="005D77A3"/>
    <w:rsid w:val="005D7A34"/>
    <w:rsid w:val="005D7C5B"/>
    <w:rsid w:val="005E0078"/>
    <w:rsid w:val="005E0090"/>
    <w:rsid w:val="005E0471"/>
    <w:rsid w:val="005E0817"/>
    <w:rsid w:val="005E0939"/>
    <w:rsid w:val="005E0E99"/>
    <w:rsid w:val="005E11F2"/>
    <w:rsid w:val="005E1971"/>
    <w:rsid w:val="005E217D"/>
    <w:rsid w:val="005E21FD"/>
    <w:rsid w:val="005E23B3"/>
    <w:rsid w:val="005E23E7"/>
    <w:rsid w:val="005E2516"/>
    <w:rsid w:val="005E285C"/>
    <w:rsid w:val="005E29F0"/>
    <w:rsid w:val="005E2AE3"/>
    <w:rsid w:val="005E3F4A"/>
    <w:rsid w:val="005E4B35"/>
    <w:rsid w:val="005E53A5"/>
    <w:rsid w:val="005E54C0"/>
    <w:rsid w:val="005E5CE2"/>
    <w:rsid w:val="005E5D30"/>
    <w:rsid w:val="005E624A"/>
    <w:rsid w:val="005E6671"/>
    <w:rsid w:val="005E67FA"/>
    <w:rsid w:val="005E714D"/>
    <w:rsid w:val="005E7962"/>
    <w:rsid w:val="005E7E38"/>
    <w:rsid w:val="005F0998"/>
    <w:rsid w:val="005F0CBC"/>
    <w:rsid w:val="005F0E3D"/>
    <w:rsid w:val="005F0E6D"/>
    <w:rsid w:val="005F10C8"/>
    <w:rsid w:val="005F1104"/>
    <w:rsid w:val="005F13DC"/>
    <w:rsid w:val="005F1793"/>
    <w:rsid w:val="005F199C"/>
    <w:rsid w:val="005F1E58"/>
    <w:rsid w:val="005F2507"/>
    <w:rsid w:val="005F3068"/>
    <w:rsid w:val="005F3945"/>
    <w:rsid w:val="005F4446"/>
    <w:rsid w:val="005F4468"/>
    <w:rsid w:val="005F464D"/>
    <w:rsid w:val="005F47E1"/>
    <w:rsid w:val="005F4BF5"/>
    <w:rsid w:val="005F4D6B"/>
    <w:rsid w:val="005F532B"/>
    <w:rsid w:val="005F604C"/>
    <w:rsid w:val="005F6362"/>
    <w:rsid w:val="005F640A"/>
    <w:rsid w:val="005F70CE"/>
    <w:rsid w:val="005F70F1"/>
    <w:rsid w:val="005F75E5"/>
    <w:rsid w:val="005F76B9"/>
    <w:rsid w:val="005F7BC7"/>
    <w:rsid w:val="005F7F11"/>
    <w:rsid w:val="006000AF"/>
    <w:rsid w:val="006000CE"/>
    <w:rsid w:val="006005A2"/>
    <w:rsid w:val="006005A9"/>
    <w:rsid w:val="00600AA7"/>
    <w:rsid w:val="00600CDD"/>
    <w:rsid w:val="006015F5"/>
    <w:rsid w:val="006021C5"/>
    <w:rsid w:val="006027C6"/>
    <w:rsid w:val="00602D2D"/>
    <w:rsid w:val="00602F06"/>
    <w:rsid w:val="006033C2"/>
    <w:rsid w:val="006037A4"/>
    <w:rsid w:val="006039A8"/>
    <w:rsid w:val="00604092"/>
    <w:rsid w:val="006044D8"/>
    <w:rsid w:val="0060481F"/>
    <w:rsid w:val="00604D43"/>
    <w:rsid w:val="00604EEE"/>
    <w:rsid w:val="00605B43"/>
    <w:rsid w:val="00606AD6"/>
    <w:rsid w:val="00606C9F"/>
    <w:rsid w:val="006072C2"/>
    <w:rsid w:val="006079D9"/>
    <w:rsid w:val="00607B4A"/>
    <w:rsid w:val="006101BD"/>
    <w:rsid w:val="006101E1"/>
    <w:rsid w:val="0061031C"/>
    <w:rsid w:val="006104C1"/>
    <w:rsid w:val="00611245"/>
    <w:rsid w:val="00611498"/>
    <w:rsid w:val="0061180C"/>
    <w:rsid w:val="00611C23"/>
    <w:rsid w:val="00611DA0"/>
    <w:rsid w:val="00611E7A"/>
    <w:rsid w:val="00611FFE"/>
    <w:rsid w:val="006123B6"/>
    <w:rsid w:val="00612484"/>
    <w:rsid w:val="00612DE4"/>
    <w:rsid w:val="006134EB"/>
    <w:rsid w:val="0061387C"/>
    <w:rsid w:val="006142D6"/>
    <w:rsid w:val="006144B0"/>
    <w:rsid w:val="006149CE"/>
    <w:rsid w:val="00614AE3"/>
    <w:rsid w:val="0061545A"/>
    <w:rsid w:val="0061559B"/>
    <w:rsid w:val="00615A49"/>
    <w:rsid w:val="00616D0D"/>
    <w:rsid w:val="00617290"/>
    <w:rsid w:val="00617C92"/>
    <w:rsid w:val="00617EB3"/>
    <w:rsid w:val="00620C86"/>
    <w:rsid w:val="00620EA6"/>
    <w:rsid w:val="006213B3"/>
    <w:rsid w:val="0062164E"/>
    <w:rsid w:val="00621846"/>
    <w:rsid w:val="006218C9"/>
    <w:rsid w:val="00622517"/>
    <w:rsid w:val="0062268A"/>
    <w:rsid w:val="00622797"/>
    <w:rsid w:val="006227F4"/>
    <w:rsid w:val="006230FD"/>
    <w:rsid w:val="0062311F"/>
    <w:rsid w:val="00623749"/>
    <w:rsid w:val="00623CCB"/>
    <w:rsid w:val="006241F4"/>
    <w:rsid w:val="0062459F"/>
    <w:rsid w:val="00624B5E"/>
    <w:rsid w:val="00625076"/>
    <w:rsid w:val="006258F3"/>
    <w:rsid w:val="00625AFA"/>
    <w:rsid w:val="00625B55"/>
    <w:rsid w:val="00625EE3"/>
    <w:rsid w:val="0062629F"/>
    <w:rsid w:val="00626753"/>
    <w:rsid w:val="00626AF0"/>
    <w:rsid w:val="00626B5F"/>
    <w:rsid w:val="00626CC0"/>
    <w:rsid w:val="00626EFE"/>
    <w:rsid w:val="00626FD2"/>
    <w:rsid w:val="0062709D"/>
    <w:rsid w:val="006273B4"/>
    <w:rsid w:val="006277A3"/>
    <w:rsid w:val="00630F08"/>
    <w:rsid w:val="00631184"/>
    <w:rsid w:val="00631451"/>
    <w:rsid w:val="00631762"/>
    <w:rsid w:val="00632576"/>
    <w:rsid w:val="0063319B"/>
    <w:rsid w:val="0063321F"/>
    <w:rsid w:val="00633462"/>
    <w:rsid w:val="006337D2"/>
    <w:rsid w:val="0063387D"/>
    <w:rsid w:val="00633B89"/>
    <w:rsid w:val="00634035"/>
    <w:rsid w:val="00634292"/>
    <w:rsid w:val="006342CC"/>
    <w:rsid w:val="00634DA5"/>
    <w:rsid w:val="00634E34"/>
    <w:rsid w:val="00635121"/>
    <w:rsid w:val="006357E8"/>
    <w:rsid w:val="00636410"/>
    <w:rsid w:val="0063684F"/>
    <w:rsid w:val="00636AEC"/>
    <w:rsid w:val="00636C77"/>
    <w:rsid w:val="00637980"/>
    <w:rsid w:val="00637ACB"/>
    <w:rsid w:val="00637CD1"/>
    <w:rsid w:val="00637F60"/>
    <w:rsid w:val="00637F7B"/>
    <w:rsid w:val="0064089A"/>
    <w:rsid w:val="00640947"/>
    <w:rsid w:val="00641171"/>
    <w:rsid w:val="00641295"/>
    <w:rsid w:val="00641632"/>
    <w:rsid w:val="00641CF6"/>
    <w:rsid w:val="00641D46"/>
    <w:rsid w:val="00642788"/>
    <w:rsid w:val="00642A60"/>
    <w:rsid w:val="00642C94"/>
    <w:rsid w:val="00642DB8"/>
    <w:rsid w:val="00643045"/>
    <w:rsid w:val="006430A2"/>
    <w:rsid w:val="006434EF"/>
    <w:rsid w:val="00643540"/>
    <w:rsid w:val="006435E1"/>
    <w:rsid w:val="0064368F"/>
    <w:rsid w:val="0064429A"/>
    <w:rsid w:val="00644583"/>
    <w:rsid w:val="00644A61"/>
    <w:rsid w:val="00644D40"/>
    <w:rsid w:val="006452E3"/>
    <w:rsid w:val="006452EA"/>
    <w:rsid w:val="00645345"/>
    <w:rsid w:val="00645A1C"/>
    <w:rsid w:val="00646745"/>
    <w:rsid w:val="006469C8"/>
    <w:rsid w:val="0064763C"/>
    <w:rsid w:val="00647AC1"/>
    <w:rsid w:val="00647E55"/>
    <w:rsid w:val="006503D6"/>
    <w:rsid w:val="0065082A"/>
    <w:rsid w:val="006508D4"/>
    <w:rsid w:val="00650A91"/>
    <w:rsid w:val="0065102C"/>
    <w:rsid w:val="006514CA"/>
    <w:rsid w:val="00651667"/>
    <w:rsid w:val="006518AA"/>
    <w:rsid w:val="00652373"/>
    <w:rsid w:val="006523D9"/>
    <w:rsid w:val="006524BE"/>
    <w:rsid w:val="006525F7"/>
    <w:rsid w:val="006529B6"/>
    <w:rsid w:val="00652A2E"/>
    <w:rsid w:val="00652A8B"/>
    <w:rsid w:val="00653095"/>
    <w:rsid w:val="00653124"/>
    <w:rsid w:val="00653313"/>
    <w:rsid w:val="006533EF"/>
    <w:rsid w:val="0065342A"/>
    <w:rsid w:val="00653D32"/>
    <w:rsid w:val="00653D60"/>
    <w:rsid w:val="00653E1C"/>
    <w:rsid w:val="00653FE1"/>
    <w:rsid w:val="00654319"/>
    <w:rsid w:val="00654586"/>
    <w:rsid w:val="00654964"/>
    <w:rsid w:val="00654B48"/>
    <w:rsid w:val="006552C2"/>
    <w:rsid w:val="0065562F"/>
    <w:rsid w:val="00655754"/>
    <w:rsid w:val="006559A5"/>
    <w:rsid w:val="00655F9D"/>
    <w:rsid w:val="00656693"/>
    <w:rsid w:val="00656827"/>
    <w:rsid w:val="00656AD7"/>
    <w:rsid w:val="00656EB9"/>
    <w:rsid w:val="00657B25"/>
    <w:rsid w:val="00660109"/>
    <w:rsid w:val="00660152"/>
    <w:rsid w:val="00660398"/>
    <w:rsid w:val="00660483"/>
    <w:rsid w:val="00660523"/>
    <w:rsid w:val="00660A0B"/>
    <w:rsid w:val="00661485"/>
    <w:rsid w:val="006618BF"/>
    <w:rsid w:val="006618CE"/>
    <w:rsid w:val="00661993"/>
    <w:rsid w:val="00662024"/>
    <w:rsid w:val="00662198"/>
    <w:rsid w:val="00662443"/>
    <w:rsid w:val="00662515"/>
    <w:rsid w:val="00662738"/>
    <w:rsid w:val="006638E4"/>
    <w:rsid w:val="00663A02"/>
    <w:rsid w:val="00663BB1"/>
    <w:rsid w:val="00663D1D"/>
    <w:rsid w:val="00664792"/>
    <w:rsid w:val="00665087"/>
    <w:rsid w:val="006657E2"/>
    <w:rsid w:val="006658C1"/>
    <w:rsid w:val="006659F9"/>
    <w:rsid w:val="00665A23"/>
    <w:rsid w:val="00665ACF"/>
    <w:rsid w:val="00666087"/>
    <w:rsid w:val="006667F8"/>
    <w:rsid w:val="006669E5"/>
    <w:rsid w:val="00666F87"/>
    <w:rsid w:val="00666FD2"/>
    <w:rsid w:val="00667099"/>
    <w:rsid w:val="0066723B"/>
    <w:rsid w:val="006675A6"/>
    <w:rsid w:val="006676D0"/>
    <w:rsid w:val="0066782E"/>
    <w:rsid w:val="006678DC"/>
    <w:rsid w:val="00667C8C"/>
    <w:rsid w:val="00670106"/>
    <w:rsid w:val="00670E3E"/>
    <w:rsid w:val="00670EB6"/>
    <w:rsid w:val="00670FFD"/>
    <w:rsid w:val="00671464"/>
    <w:rsid w:val="006715B6"/>
    <w:rsid w:val="00671647"/>
    <w:rsid w:val="006718D6"/>
    <w:rsid w:val="00671B6E"/>
    <w:rsid w:val="00672525"/>
    <w:rsid w:val="00673C58"/>
    <w:rsid w:val="006745D4"/>
    <w:rsid w:val="00674804"/>
    <w:rsid w:val="00674D1A"/>
    <w:rsid w:val="006753DF"/>
    <w:rsid w:val="006756CA"/>
    <w:rsid w:val="0067648F"/>
    <w:rsid w:val="006774CF"/>
    <w:rsid w:val="00677579"/>
    <w:rsid w:val="006775D3"/>
    <w:rsid w:val="006776F0"/>
    <w:rsid w:val="0067780D"/>
    <w:rsid w:val="006779BA"/>
    <w:rsid w:val="006803CF"/>
    <w:rsid w:val="0068069F"/>
    <w:rsid w:val="00680752"/>
    <w:rsid w:val="00680CBB"/>
    <w:rsid w:val="00680D62"/>
    <w:rsid w:val="006810DD"/>
    <w:rsid w:val="006811F6"/>
    <w:rsid w:val="006812B6"/>
    <w:rsid w:val="006814C6"/>
    <w:rsid w:val="006815B8"/>
    <w:rsid w:val="00681835"/>
    <w:rsid w:val="00681A5A"/>
    <w:rsid w:val="0068290C"/>
    <w:rsid w:val="00682A46"/>
    <w:rsid w:val="00682DB0"/>
    <w:rsid w:val="00682ED6"/>
    <w:rsid w:val="006832CA"/>
    <w:rsid w:val="00683914"/>
    <w:rsid w:val="00683978"/>
    <w:rsid w:val="00683DC0"/>
    <w:rsid w:val="006840BD"/>
    <w:rsid w:val="006841C2"/>
    <w:rsid w:val="00684676"/>
    <w:rsid w:val="0068481A"/>
    <w:rsid w:val="00684B34"/>
    <w:rsid w:val="00684DB9"/>
    <w:rsid w:val="00684DC7"/>
    <w:rsid w:val="00685707"/>
    <w:rsid w:val="00685A64"/>
    <w:rsid w:val="00685DED"/>
    <w:rsid w:val="00686D9B"/>
    <w:rsid w:val="006904DF"/>
    <w:rsid w:val="00690D6C"/>
    <w:rsid w:val="00690EFC"/>
    <w:rsid w:val="00691BF3"/>
    <w:rsid w:val="0069206A"/>
    <w:rsid w:val="00692209"/>
    <w:rsid w:val="00692AC7"/>
    <w:rsid w:val="00693498"/>
    <w:rsid w:val="006937E9"/>
    <w:rsid w:val="0069396E"/>
    <w:rsid w:val="006939BA"/>
    <w:rsid w:val="00693B48"/>
    <w:rsid w:val="00693EA2"/>
    <w:rsid w:val="00693F37"/>
    <w:rsid w:val="0069474D"/>
    <w:rsid w:val="00694ABC"/>
    <w:rsid w:val="00694C02"/>
    <w:rsid w:val="0069580A"/>
    <w:rsid w:val="006968A9"/>
    <w:rsid w:val="00697042"/>
    <w:rsid w:val="006975C8"/>
    <w:rsid w:val="00697D80"/>
    <w:rsid w:val="006A07C1"/>
    <w:rsid w:val="006A09F0"/>
    <w:rsid w:val="006A0FEC"/>
    <w:rsid w:val="006A11B7"/>
    <w:rsid w:val="006A14B1"/>
    <w:rsid w:val="006A19B9"/>
    <w:rsid w:val="006A1B01"/>
    <w:rsid w:val="006A2399"/>
    <w:rsid w:val="006A24C4"/>
    <w:rsid w:val="006A2587"/>
    <w:rsid w:val="006A371D"/>
    <w:rsid w:val="006A3DE5"/>
    <w:rsid w:val="006A424D"/>
    <w:rsid w:val="006A43F5"/>
    <w:rsid w:val="006A4C03"/>
    <w:rsid w:val="006A4ED5"/>
    <w:rsid w:val="006A5235"/>
    <w:rsid w:val="006A596F"/>
    <w:rsid w:val="006A61F2"/>
    <w:rsid w:val="006A65D0"/>
    <w:rsid w:val="006A6DE0"/>
    <w:rsid w:val="006A7043"/>
    <w:rsid w:val="006A72C9"/>
    <w:rsid w:val="006A735A"/>
    <w:rsid w:val="006A77F1"/>
    <w:rsid w:val="006A7BAE"/>
    <w:rsid w:val="006A7DFA"/>
    <w:rsid w:val="006A7E05"/>
    <w:rsid w:val="006B024C"/>
    <w:rsid w:val="006B048C"/>
    <w:rsid w:val="006B0999"/>
    <w:rsid w:val="006B0CEB"/>
    <w:rsid w:val="006B0DBB"/>
    <w:rsid w:val="006B1ADB"/>
    <w:rsid w:val="006B1F9A"/>
    <w:rsid w:val="006B27C8"/>
    <w:rsid w:val="006B299D"/>
    <w:rsid w:val="006B29D1"/>
    <w:rsid w:val="006B2B59"/>
    <w:rsid w:val="006B3065"/>
    <w:rsid w:val="006B307D"/>
    <w:rsid w:val="006B3ACC"/>
    <w:rsid w:val="006B3CA8"/>
    <w:rsid w:val="006B3D67"/>
    <w:rsid w:val="006B409F"/>
    <w:rsid w:val="006B43A5"/>
    <w:rsid w:val="006B4435"/>
    <w:rsid w:val="006B448C"/>
    <w:rsid w:val="006B44FC"/>
    <w:rsid w:val="006B4BF0"/>
    <w:rsid w:val="006B4D1F"/>
    <w:rsid w:val="006B4E06"/>
    <w:rsid w:val="006B50C8"/>
    <w:rsid w:val="006B520B"/>
    <w:rsid w:val="006B5A18"/>
    <w:rsid w:val="006B603B"/>
    <w:rsid w:val="006B613C"/>
    <w:rsid w:val="006B6E73"/>
    <w:rsid w:val="006B6EFB"/>
    <w:rsid w:val="006B74C3"/>
    <w:rsid w:val="006B74E8"/>
    <w:rsid w:val="006B7506"/>
    <w:rsid w:val="006B7596"/>
    <w:rsid w:val="006B7722"/>
    <w:rsid w:val="006C0143"/>
    <w:rsid w:val="006C0441"/>
    <w:rsid w:val="006C0991"/>
    <w:rsid w:val="006C0F00"/>
    <w:rsid w:val="006C1140"/>
    <w:rsid w:val="006C154F"/>
    <w:rsid w:val="006C1848"/>
    <w:rsid w:val="006C1B5B"/>
    <w:rsid w:val="006C1B81"/>
    <w:rsid w:val="006C1BE8"/>
    <w:rsid w:val="006C1FDD"/>
    <w:rsid w:val="006C21A3"/>
    <w:rsid w:val="006C21EE"/>
    <w:rsid w:val="006C25C1"/>
    <w:rsid w:val="006C274A"/>
    <w:rsid w:val="006C2808"/>
    <w:rsid w:val="006C294F"/>
    <w:rsid w:val="006C2C6E"/>
    <w:rsid w:val="006C2C9F"/>
    <w:rsid w:val="006C2CF4"/>
    <w:rsid w:val="006C3046"/>
    <w:rsid w:val="006C32EB"/>
    <w:rsid w:val="006C3653"/>
    <w:rsid w:val="006C36A2"/>
    <w:rsid w:val="006C3713"/>
    <w:rsid w:val="006C3FC7"/>
    <w:rsid w:val="006C4204"/>
    <w:rsid w:val="006C46AF"/>
    <w:rsid w:val="006C5295"/>
    <w:rsid w:val="006C56E8"/>
    <w:rsid w:val="006C5710"/>
    <w:rsid w:val="006C572E"/>
    <w:rsid w:val="006C5759"/>
    <w:rsid w:val="006C5B50"/>
    <w:rsid w:val="006C5E8C"/>
    <w:rsid w:val="006C6A1D"/>
    <w:rsid w:val="006C6C61"/>
    <w:rsid w:val="006C6D96"/>
    <w:rsid w:val="006C6FBD"/>
    <w:rsid w:val="006C7A8E"/>
    <w:rsid w:val="006C7B5C"/>
    <w:rsid w:val="006C7BE8"/>
    <w:rsid w:val="006D075F"/>
    <w:rsid w:val="006D0798"/>
    <w:rsid w:val="006D09B4"/>
    <w:rsid w:val="006D09D4"/>
    <w:rsid w:val="006D0F69"/>
    <w:rsid w:val="006D2A07"/>
    <w:rsid w:val="006D2DA3"/>
    <w:rsid w:val="006D3562"/>
    <w:rsid w:val="006D35F1"/>
    <w:rsid w:val="006D37B0"/>
    <w:rsid w:val="006D37C5"/>
    <w:rsid w:val="006D37CF"/>
    <w:rsid w:val="006D40F8"/>
    <w:rsid w:val="006D4373"/>
    <w:rsid w:val="006D46A0"/>
    <w:rsid w:val="006D4730"/>
    <w:rsid w:val="006D5E2B"/>
    <w:rsid w:val="006D6058"/>
    <w:rsid w:val="006D6060"/>
    <w:rsid w:val="006D6235"/>
    <w:rsid w:val="006D6313"/>
    <w:rsid w:val="006D6629"/>
    <w:rsid w:val="006D6D17"/>
    <w:rsid w:val="006D7170"/>
    <w:rsid w:val="006E0223"/>
    <w:rsid w:val="006E045D"/>
    <w:rsid w:val="006E0516"/>
    <w:rsid w:val="006E0E8D"/>
    <w:rsid w:val="006E0FAD"/>
    <w:rsid w:val="006E1169"/>
    <w:rsid w:val="006E11B2"/>
    <w:rsid w:val="006E17C4"/>
    <w:rsid w:val="006E227F"/>
    <w:rsid w:val="006E2A09"/>
    <w:rsid w:val="006E2BD6"/>
    <w:rsid w:val="006E30D7"/>
    <w:rsid w:val="006E3174"/>
    <w:rsid w:val="006E34E4"/>
    <w:rsid w:val="006E3BEA"/>
    <w:rsid w:val="006E3F96"/>
    <w:rsid w:val="006E432C"/>
    <w:rsid w:val="006E490E"/>
    <w:rsid w:val="006E59DE"/>
    <w:rsid w:val="006E5BA7"/>
    <w:rsid w:val="006E6363"/>
    <w:rsid w:val="006E63CF"/>
    <w:rsid w:val="006E6889"/>
    <w:rsid w:val="006E6BEF"/>
    <w:rsid w:val="006E7528"/>
    <w:rsid w:val="006E75EE"/>
    <w:rsid w:val="006E7BAF"/>
    <w:rsid w:val="006E7E55"/>
    <w:rsid w:val="006F0349"/>
    <w:rsid w:val="006F0378"/>
    <w:rsid w:val="006F054C"/>
    <w:rsid w:val="006F08BE"/>
    <w:rsid w:val="006F1089"/>
    <w:rsid w:val="006F1F92"/>
    <w:rsid w:val="006F2132"/>
    <w:rsid w:val="006F2266"/>
    <w:rsid w:val="006F2329"/>
    <w:rsid w:val="006F265B"/>
    <w:rsid w:val="006F26D6"/>
    <w:rsid w:val="006F2FE2"/>
    <w:rsid w:val="006F303F"/>
    <w:rsid w:val="006F3E4B"/>
    <w:rsid w:val="006F488A"/>
    <w:rsid w:val="006F4B91"/>
    <w:rsid w:val="006F4C4E"/>
    <w:rsid w:val="006F4D53"/>
    <w:rsid w:val="006F4DEA"/>
    <w:rsid w:val="006F4E9A"/>
    <w:rsid w:val="006F53FF"/>
    <w:rsid w:val="006F5F72"/>
    <w:rsid w:val="006F5FEA"/>
    <w:rsid w:val="006F69D1"/>
    <w:rsid w:val="006F728D"/>
    <w:rsid w:val="006F7297"/>
    <w:rsid w:val="006F72F8"/>
    <w:rsid w:val="006F7497"/>
    <w:rsid w:val="006F75D9"/>
    <w:rsid w:val="006F7892"/>
    <w:rsid w:val="00700054"/>
    <w:rsid w:val="00700712"/>
    <w:rsid w:val="00700954"/>
    <w:rsid w:val="00700CF5"/>
    <w:rsid w:val="00700D41"/>
    <w:rsid w:val="00701822"/>
    <w:rsid w:val="007018DB"/>
    <w:rsid w:val="0070233A"/>
    <w:rsid w:val="007024DE"/>
    <w:rsid w:val="00702510"/>
    <w:rsid w:val="00702802"/>
    <w:rsid w:val="00702888"/>
    <w:rsid w:val="00702943"/>
    <w:rsid w:val="00702E1D"/>
    <w:rsid w:val="0070334C"/>
    <w:rsid w:val="0070360B"/>
    <w:rsid w:val="00703BE3"/>
    <w:rsid w:val="00703F42"/>
    <w:rsid w:val="00704724"/>
    <w:rsid w:val="00704796"/>
    <w:rsid w:val="00704D20"/>
    <w:rsid w:val="00704D8F"/>
    <w:rsid w:val="00704E02"/>
    <w:rsid w:val="00704E61"/>
    <w:rsid w:val="0070516F"/>
    <w:rsid w:val="00705288"/>
    <w:rsid w:val="00705472"/>
    <w:rsid w:val="00705695"/>
    <w:rsid w:val="00705835"/>
    <w:rsid w:val="0070684C"/>
    <w:rsid w:val="0070715C"/>
    <w:rsid w:val="0070716B"/>
    <w:rsid w:val="00707D7B"/>
    <w:rsid w:val="00710F54"/>
    <w:rsid w:val="0071111D"/>
    <w:rsid w:val="007116AC"/>
    <w:rsid w:val="00711CCB"/>
    <w:rsid w:val="00712D49"/>
    <w:rsid w:val="00712F17"/>
    <w:rsid w:val="0071376F"/>
    <w:rsid w:val="00713A2E"/>
    <w:rsid w:val="00713BA5"/>
    <w:rsid w:val="00713BAF"/>
    <w:rsid w:val="00713E74"/>
    <w:rsid w:val="007146CA"/>
    <w:rsid w:val="0071473E"/>
    <w:rsid w:val="00714DC6"/>
    <w:rsid w:val="007151E9"/>
    <w:rsid w:val="007154BB"/>
    <w:rsid w:val="0071558B"/>
    <w:rsid w:val="007156B9"/>
    <w:rsid w:val="00715C32"/>
    <w:rsid w:val="00715E75"/>
    <w:rsid w:val="00715E82"/>
    <w:rsid w:val="00716132"/>
    <w:rsid w:val="00716266"/>
    <w:rsid w:val="007168DA"/>
    <w:rsid w:val="00716A3F"/>
    <w:rsid w:val="00717367"/>
    <w:rsid w:val="00717428"/>
    <w:rsid w:val="007174B6"/>
    <w:rsid w:val="00717565"/>
    <w:rsid w:val="00717595"/>
    <w:rsid w:val="007175E8"/>
    <w:rsid w:val="007179B9"/>
    <w:rsid w:val="00717AB9"/>
    <w:rsid w:val="00720311"/>
    <w:rsid w:val="007203D0"/>
    <w:rsid w:val="00720433"/>
    <w:rsid w:val="0072065E"/>
    <w:rsid w:val="00720930"/>
    <w:rsid w:val="00720A00"/>
    <w:rsid w:val="00720DDE"/>
    <w:rsid w:val="007210DC"/>
    <w:rsid w:val="007211E8"/>
    <w:rsid w:val="0072188E"/>
    <w:rsid w:val="007218E3"/>
    <w:rsid w:val="0072194D"/>
    <w:rsid w:val="007221AA"/>
    <w:rsid w:val="0072251D"/>
    <w:rsid w:val="00722741"/>
    <w:rsid w:val="007235BD"/>
    <w:rsid w:val="007237C1"/>
    <w:rsid w:val="00723DE9"/>
    <w:rsid w:val="00723EFF"/>
    <w:rsid w:val="007244A4"/>
    <w:rsid w:val="007245B9"/>
    <w:rsid w:val="0072463C"/>
    <w:rsid w:val="0072470A"/>
    <w:rsid w:val="00724A4C"/>
    <w:rsid w:val="00724AAE"/>
    <w:rsid w:val="00724FF2"/>
    <w:rsid w:val="00725244"/>
    <w:rsid w:val="007252E1"/>
    <w:rsid w:val="00725A79"/>
    <w:rsid w:val="00725A89"/>
    <w:rsid w:val="00725F8F"/>
    <w:rsid w:val="007267BD"/>
    <w:rsid w:val="0072762A"/>
    <w:rsid w:val="007276A3"/>
    <w:rsid w:val="007276A4"/>
    <w:rsid w:val="007276ED"/>
    <w:rsid w:val="00727B82"/>
    <w:rsid w:val="00730DE4"/>
    <w:rsid w:val="00731031"/>
    <w:rsid w:val="00731D76"/>
    <w:rsid w:val="0073203C"/>
    <w:rsid w:val="007334F6"/>
    <w:rsid w:val="0073391F"/>
    <w:rsid w:val="00733D2D"/>
    <w:rsid w:val="00733D86"/>
    <w:rsid w:val="007345BA"/>
    <w:rsid w:val="007353A6"/>
    <w:rsid w:val="0073574E"/>
    <w:rsid w:val="00735899"/>
    <w:rsid w:val="00735CB8"/>
    <w:rsid w:val="00736836"/>
    <w:rsid w:val="00736912"/>
    <w:rsid w:val="00736AB0"/>
    <w:rsid w:val="00736FC3"/>
    <w:rsid w:val="007371D7"/>
    <w:rsid w:val="00737D23"/>
    <w:rsid w:val="00737FE7"/>
    <w:rsid w:val="00740103"/>
    <w:rsid w:val="00740134"/>
    <w:rsid w:val="00740237"/>
    <w:rsid w:val="0074034B"/>
    <w:rsid w:val="00740413"/>
    <w:rsid w:val="007405E9"/>
    <w:rsid w:val="0074079A"/>
    <w:rsid w:val="00740BB2"/>
    <w:rsid w:val="00740BC3"/>
    <w:rsid w:val="00740C05"/>
    <w:rsid w:val="00740ED6"/>
    <w:rsid w:val="007412E2"/>
    <w:rsid w:val="0074238D"/>
    <w:rsid w:val="007423C1"/>
    <w:rsid w:val="00742978"/>
    <w:rsid w:val="007431BA"/>
    <w:rsid w:val="00743381"/>
    <w:rsid w:val="00743683"/>
    <w:rsid w:val="007437FC"/>
    <w:rsid w:val="00743DAB"/>
    <w:rsid w:val="007444F5"/>
    <w:rsid w:val="00744893"/>
    <w:rsid w:val="00744909"/>
    <w:rsid w:val="0074517A"/>
    <w:rsid w:val="00745324"/>
    <w:rsid w:val="007453FE"/>
    <w:rsid w:val="0074598F"/>
    <w:rsid w:val="007459F5"/>
    <w:rsid w:val="00745AD7"/>
    <w:rsid w:val="00745C1B"/>
    <w:rsid w:val="00745C89"/>
    <w:rsid w:val="00746C3B"/>
    <w:rsid w:val="00746F1B"/>
    <w:rsid w:val="007472F5"/>
    <w:rsid w:val="00747A6C"/>
    <w:rsid w:val="007504F7"/>
    <w:rsid w:val="00750905"/>
    <w:rsid w:val="00750A7A"/>
    <w:rsid w:val="007511E5"/>
    <w:rsid w:val="007513B2"/>
    <w:rsid w:val="00751692"/>
    <w:rsid w:val="00751989"/>
    <w:rsid w:val="00751A8C"/>
    <w:rsid w:val="00751BCA"/>
    <w:rsid w:val="00751C91"/>
    <w:rsid w:val="00751FCC"/>
    <w:rsid w:val="00752525"/>
    <w:rsid w:val="00752691"/>
    <w:rsid w:val="00752CD3"/>
    <w:rsid w:val="00752F86"/>
    <w:rsid w:val="0075343D"/>
    <w:rsid w:val="0075377D"/>
    <w:rsid w:val="00753789"/>
    <w:rsid w:val="00753EA9"/>
    <w:rsid w:val="00754094"/>
    <w:rsid w:val="007547DB"/>
    <w:rsid w:val="007547FA"/>
    <w:rsid w:val="00754988"/>
    <w:rsid w:val="007549DE"/>
    <w:rsid w:val="00754EB8"/>
    <w:rsid w:val="007556E0"/>
    <w:rsid w:val="00755CF6"/>
    <w:rsid w:val="00756162"/>
    <w:rsid w:val="00756281"/>
    <w:rsid w:val="0075642A"/>
    <w:rsid w:val="00756C77"/>
    <w:rsid w:val="00756DC6"/>
    <w:rsid w:val="0075704C"/>
    <w:rsid w:val="00760300"/>
    <w:rsid w:val="00760642"/>
    <w:rsid w:val="00760C72"/>
    <w:rsid w:val="0076137F"/>
    <w:rsid w:val="00762373"/>
    <w:rsid w:val="007623DA"/>
    <w:rsid w:val="007625EF"/>
    <w:rsid w:val="00762972"/>
    <w:rsid w:val="00762B40"/>
    <w:rsid w:val="00762F84"/>
    <w:rsid w:val="007633EF"/>
    <w:rsid w:val="00763507"/>
    <w:rsid w:val="0076366D"/>
    <w:rsid w:val="007645F3"/>
    <w:rsid w:val="007647F8"/>
    <w:rsid w:val="007648DA"/>
    <w:rsid w:val="0076529D"/>
    <w:rsid w:val="00765932"/>
    <w:rsid w:val="007665B3"/>
    <w:rsid w:val="007671A1"/>
    <w:rsid w:val="0076750D"/>
    <w:rsid w:val="00767B6C"/>
    <w:rsid w:val="00767D88"/>
    <w:rsid w:val="00767E82"/>
    <w:rsid w:val="0077004C"/>
    <w:rsid w:val="007702F1"/>
    <w:rsid w:val="0077086E"/>
    <w:rsid w:val="00771165"/>
    <w:rsid w:val="00771E5F"/>
    <w:rsid w:val="0077203F"/>
    <w:rsid w:val="007726A1"/>
    <w:rsid w:val="00773BD1"/>
    <w:rsid w:val="00773D1B"/>
    <w:rsid w:val="00774260"/>
    <w:rsid w:val="00774448"/>
    <w:rsid w:val="00775017"/>
    <w:rsid w:val="00775BA1"/>
    <w:rsid w:val="00775D55"/>
    <w:rsid w:val="00775DFD"/>
    <w:rsid w:val="007763F2"/>
    <w:rsid w:val="00776A06"/>
    <w:rsid w:val="00776AA1"/>
    <w:rsid w:val="00776F06"/>
    <w:rsid w:val="0077732D"/>
    <w:rsid w:val="0077783E"/>
    <w:rsid w:val="007779AB"/>
    <w:rsid w:val="00777C3E"/>
    <w:rsid w:val="00777CA1"/>
    <w:rsid w:val="00777D30"/>
    <w:rsid w:val="00777FFE"/>
    <w:rsid w:val="007800BF"/>
    <w:rsid w:val="007801C4"/>
    <w:rsid w:val="00780249"/>
    <w:rsid w:val="007802AE"/>
    <w:rsid w:val="007802E2"/>
    <w:rsid w:val="007802FB"/>
    <w:rsid w:val="0078076D"/>
    <w:rsid w:val="00780BEC"/>
    <w:rsid w:val="00780F11"/>
    <w:rsid w:val="0078129D"/>
    <w:rsid w:val="0078137E"/>
    <w:rsid w:val="00781A2B"/>
    <w:rsid w:val="00782498"/>
    <w:rsid w:val="0078257D"/>
    <w:rsid w:val="00782642"/>
    <w:rsid w:val="00782A46"/>
    <w:rsid w:val="00782AF2"/>
    <w:rsid w:val="00782F57"/>
    <w:rsid w:val="007830C4"/>
    <w:rsid w:val="0078312C"/>
    <w:rsid w:val="0078338E"/>
    <w:rsid w:val="00784A8C"/>
    <w:rsid w:val="00785F10"/>
    <w:rsid w:val="00785FD1"/>
    <w:rsid w:val="00786272"/>
    <w:rsid w:val="00786950"/>
    <w:rsid w:val="00786A6E"/>
    <w:rsid w:val="00786C04"/>
    <w:rsid w:val="00786D5A"/>
    <w:rsid w:val="00786EDD"/>
    <w:rsid w:val="00787446"/>
    <w:rsid w:val="00787DD6"/>
    <w:rsid w:val="007903F5"/>
    <w:rsid w:val="00790490"/>
    <w:rsid w:val="00790D07"/>
    <w:rsid w:val="00790DAA"/>
    <w:rsid w:val="007911EE"/>
    <w:rsid w:val="0079163F"/>
    <w:rsid w:val="00791B96"/>
    <w:rsid w:val="00791C46"/>
    <w:rsid w:val="00791E5B"/>
    <w:rsid w:val="00791F47"/>
    <w:rsid w:val="007921EB"/>
    <w:rsid w:val="0079232A"/>
    <w:rsid w:val="00793215"/>
    <w:rsid w:val="007933F6"/>
    <w:rsid w:val="00793537"/>
    <w:rsid w:val="007944CE"/>
    <w:rsid w:val="00794937"/>
    <w:rsid w:val="00794CD1"/>
    <w:rsid w:val="00794FC4"/>
    <w:rsid w:val="00795185"/>
    <w:rsid w:val="00795218"/>
    <w:rsid w:val="00795386"/>
    <w:rsid w:val="00795637"/>
    <w:rsid w:val="00795E58"/>
    <w:rsid w:val="007968BC"/>
    <w:rsid w:val="00796B50"/>
    <w:rsid w:val="00796ED6"/>
    <w:rsid w:val="00796FE7"/>
    <w:rsid w:val="00796FF0"/>
    <w:rsid w:val="007975B8"/>
    <w:rsid w:val="00797812"/>
    <w:rsid w:val="007978D9"/>
    <w:rsid w:val="00797FEE"/>
    <w:rsid w:val="007A0145"/>
    <w:rsid w:val="007A014C"/>
    <w:rsid w:val="007A06FF"/>
    <w:rsid w:val="007A07A0"/>
    <w:rsid w:val="007A0B26"/>
    <w:rsid w:val="007A0BF8"/>
    <w:rsid w:val="007A0D5B"/>
    <w:rsid w:val="007A1275"/>
    <w:rsid w:val="007A17C6"/>
    <w:rsid w:val="007A2080"/>
    <w:rsid w:val="007A2E74"/>
    <w:rsid w:val="007A360B"/>
    <w:rsid w:val="007A366B"/>
    <w:rsid w:val="007A3672"/>
    <w:rsid w:val="007A3C28"/>
    <w:rsid w:val="007A4AC5"/>
    <w:rsid w:val="007A4BD2"/>
    <w:rsid w:val="007A5084"/>
    <w:rsid w:val="007A5BCC"/>
    <w:rsid w:val="007A5EAA"/>
    <w:rsid w:val="007A6755"/>
    <w:rsid w:val="007A6C36"/>
    <w:rsid w:val="007A6C7C"/>
    <w:rsid w:val="007A719C"/>
    <w:rsid w:val="007A77F2"/>
    <w:rsid w:val="007B0904"/>
    <w:rsid w:val="007B0AC1"/>
    <w:rsid w:val="007B0CF7"/>
    <w:rsid w:val="007B0EC4"/>
    <w:rsid w:val="007B0F8A"/>
    <w:rsid w:val="007B179B"/>
    <w:rsid w:val="007B179C"/>
    <w:rsid w:val="007B228E"/>
    <w:rsid w:val="007B26E9"/>
    <w:rsid w:val="007B2819"/>
    <w:rsid w:val="007B2B8F"/>
    <w:rsid w:val="007B2E1B"/>
    <w:rsid w:val="007B2F11"/>
    <w:rsid w:val="007B36C8"/>
    <w:rsid w:val="007B3870"/>
    <w:rsid w:val="007B3E1B"/>
    <w:rsid w:val="007B3ED5"/>
    <w:rsid w:val="007B4121"/>
    <w:rsid w:val="007B42FA"/>
    <w:rsid w:val="007B458C"/>
    <w:rsid w:val="007B5284"/>
    <w:rsid w:val="007B5A2B"/>
    <w:rsid w:val="007B5D30"/>
    <w:rsid w:val="007B5DDE"/>
    <w:rsid w:val="007B6115"/>
    <w:rsid w:val="007B62C3"/>
    <w:rsid w:val="007B62CB"/>
    <w:rsid w:val="007B68D5"/>
    <w:rsid w:val="007B6928"/>
    <w:rsid w:val="007B70B0"/>
    <w:rsid w:val="007B74EB"/>
    <w:rsid w:val="007B7765"/>
    <w:rsid w:val="007B7E38"/>
    <w:rsid w:val="007B7F32"/>
    <w:rsid w:val="007B7FBD"/>
    <w:rsid w:val="007C029F"/>
    <w:rsid w:val="007C031A"/>
    <w:rsid w:val="007C03F1"/>
    <w:rsid w:val="007C0605"/>
    <w:rsid w:val="007C0736"/>
    <w:rsid w:val="007C0E71"/>
    <w:rsid w:val="007C11E4"/>
    <w:rsid w:val="007C13E5"/>
    <w:rsid w:val="007C13F7"/>
    <w:rsid w:val="007C15F5"/>
    <w:rsid w:val="007C1AA4"/>
    <w:rsid w:val="007C1B68"/>
    <w:rsid w:val="007C1BFD"/>
    <w:rsid w:val="007C21AA"/>
    <w:rsid w:val="007C22F7"/>
    <w:rsid w:val="007C285A"/>
    <w:rsid w:val="007C2A3F"/>
    <w:rsid w:val="007C2AAF"/>
    <w:rsid w:val="007C309E"/>
    <w:rsid w:val="007C35CB"/>
    <w:rsid w:val="007C3866"/>
    <w:rsid w:val="007C3A08"/>
    <w:rsid w:val="007C3A7E"/>
    <w:rsid w:val="007C3AAA"/>
    <w:rsid w:val="007C3E6B"/>
    <w:rsid w:val="007C40CC"/>
    <w:rsid w:val="007C4444"/>
    <w:rsid w:val="007C4566"/>
    <w:rsid w:val="007C4B8D"/>
    <w:rsid w:val="007C4B97"/>
    <w:rsid w:val="007C67C1"/>
    <w:rsid w:val="007C6823"/>
    <w:rsid w:val="007C69E2"/>
    <w:rsid w:val="007C7BEF"/>
    <w:rsid w:val="007D01E1"/>
    <w:rsid w:val="007D03CA"/>
    <w:rsid w:val="007D03D5"/>
    <w:rsid w:val="007D03DC"/>
    <w:rsid w:val="007D0933"/>
    <w:rsid w:val="007D14B9"/>
    <w:rsid w:val="007D17EC"/>
    <w:rsid w:val="007D1B38"/>
    <w:rsid w:val="007D1EEA"/>
    <w:rsid w:val="007D2CDE"/>
    <w:rsid w:val="007D334C"/>
    <w:rsid w:val="007D3A1B"/>
    <w:rsid w:val="007D3C44"/>
    <w:rsid w:val="007D3D7E"/>
    <w:rsid w:val="007D4155"/>
    <w:rsid w:val="007D457F"/>
    <w:rsid w:val="007D46B5"/>
    <w:rsid w:val="007D4A42"/>
    <w:rsid w:val="007D5003"/>
    <w:rsid w:val="007D511A"/>
    <w:rsid w:val="007D5218"/>
    <w:rsid w:val="007D6056"/>
    <w:rsid w:val="007D647C"/>
    <w:rsid w:val="007D65D7"/>
    <w:rsid w:val="007D66A5"/>
    <w:rsid w:val="007D6B2B"/>
    <w:rsid w:val="007D7744"/>
    <w:rsid w:val="007D7B8D"/>
    <w:rsid w:val="007D7CA0"/>
    <w:rsid w:val="007E0CB2"/>
    <w:rsid w:val="007E1185"/>
    <w:rsid w:val="007E13E3"/>
    <w:rsid w:val="007E14DE"/>
    <w:rsid w:val="007E15AD"/>
    <w:rsid w:val="007E1853"/>
    <w:rsid w:val="007E1A3A"/>
    <w:rsid w:val="007E233E"/>
    <w:rsid w:val="007E2527"/>
    <w:rsid w:val="007E2667"/>
    <w:rsid w:val="007E2A85"/>
    <w:rsid w:val="007E2AF4"/>
    <w:rsid w:val="007E31C4"/>
    <w:rsid w:val="007E33FB"/>
    <w:rsid w:val="007E395D"/>
    <w:rsid w:val="007E39D9"/>
    <w:rsid w:val="007E3E16"/>
    <w:rsid w:val="007E4474"/>
    <w:rsid w:val="007E46F1"/>
    <w:rsid w:val="007E4838"/>
    <w:rsid w:val="007E4B6C"/>
    <w:rsid w:val="007E5E33"/>
    <w:rsid w:val="007E5EC5"/>
    <w:rsid w:val="007E65DE"/>
    <w:rsid w:val="007E6800"/>
    <w:rsid w:val="007E6866"/>
    <w:rsid w:val="007E6874"/>
    <w:rsid w:val="007E6A68"/>
    <w:rsid w:val="007E6AFA"/>
    <w:rsid w:val="007E6BB8"/>
    <w:rsid w:val="007E703C"/>
    <w:rsid w:val="007E7419"/>
    <w:rsid w:val="007E7E41"/>
    <w:rsid w:val="007E7EA5"/>
    <w:rsid w:val="007E7F1B"/>
    <w:rsid w:val="007F04EB"/>
    <w:rsid w:val="007F0B9C"/>
    <w:rsid w:val="007F0E7C"/>
    <w:rsid w:val="007F1226"/>
    <w:rsid w:val="007F1881"/>
    <w:rsid w:val="007F1AE7"/>
    <w:rsid w:val="007F2344"/>
    <w:rsid w:val="007F292D"/>
    <w:rsid w:val="007F31CA"/>
    <w:rsid w:val="007F339A"/>
    <w:rsid w:val="007F34B6"/>
    <w:rsid w:val="007F3DE2"/>
    <w:rsid w:val="007F41A4"/>
    <w:rsid w:val="007F426F"/>
    <w:rsid w:val="007F45FB"/>
    <w:rsid w:val="007F47DD"/>
    <w:rsid w:val="007F4EC5"/>
    <w:rsid w:val="007F518C"/>
    <w:rsid w:val="007F53E9"/>
    <w:rsid w:val="007F56B2"/>
    <w:rsid w:val="007F5FF9"/>
    <w:rsid w:val="007F618B"/>
    <w:rsid w:val="007F636F"/>
    <w:rsid w:val="007F6EF1"/>
    <w:rsid w:val="007F6F84"/>
    <w:rsid w:val="007F71B5"/>
    <w:rsid w:val="007F74BD"/>
    <w:rsid w:val="007F74E1"/>
    <w:rsid w:val="007F7723"/>
    <w:rsid w:val="007F7B29"/>
    <w:rsid w:val="00800A3D"/>
    <w:rsid w:val="00800CC7"/>
    <w:rsid w:val="00801192"/>
    <w:rsid w:val="008013EE"/>
    <w:rsid w:val="008014C9"/>
    <w:rsid w:val="00801781"/>
    <w:rsid w:val="0080196A"/>
    <w:rsid w:val="00801BDA"/>
    <w:rsid w:val="008025F4"/>
    <w:rsid w:val="0080263B"/>
    <w:rsid w:val="00802D22"/>
    <w:rsid w:val="00802FE0"/>
    <w:rsid w:val="008034EB"/>
    <w:rsid w:val="00803547"/>
    <w:rsid w:val="00803836"/>
    <w:rsid w:val="00803861"/>
    <w:rsid w:val="008040CE"/>
    <w:rsid w:val="008043A6"/>
    <w:rsid w:val="00804718"/>
    <w:rsid w:val="00804E79"/>
    <w:rsid w:val="00805304"/>
    <w:rsid w:val="00805AAD"/>
    <w:rsid w:val="00805B17"/>
    <w:rsid w:val="008061B7"/>
    <w:rsid w:val="008061E1"/>
    <w:rsid w:val="008068CF"/>
    <w:rsid w:val="0080746C"/>
    <w:rsid w:val="00807575"/>
    <w:rsid w:val="00807B98"/>
    <w:rsid w:val="00810353"/>
    <w:rsid w:val="00810DCC"/>
    <w:rsid w:val="008110BD"/>
    <w:rsid w:val="00811778"/>
    <w:rsid w:val="008119BF"/>
    <w:rsid w:val="008128D3"/>
    <w:rsid w:val="00812921"/>
    <w:rsid w:val="008135A0"/>
    <w:rsid w:val="008139AB"/>
    <w:rsid w:val="0081422D"/>
    <w:rsid w:val="008144EE"/>
    <w:rsid w:val="008148C7"/>
    <w:rsid w:val="008150AD"/>
    <w:rsid w:val="0081516A"/>
    <w:rsid w:val="008154EE"/>
    <w:rsid w:val="008157A5"/>
    <w:rsid w:val="00815B08"/>
    <w:rsid w:val="00815EBA"/>
    <w:rsid w:val="0081619E"/>
    <w:rsid w:val="0081679B"/>
    <w:rsid w:val="00816E84"/>
    <w:rsid w:val="00816E97"/>
    <w:rsid w:val="008174F8"/>
    <w:rsid w:val="00817535"/>
    <w:rsid w:val="008175BF"/>
    <w:rsid w:val="008176B8"/>
    <w:rsid w:val="00817941"/>
    <w:rsid w:val="00817D7C"/>
    <w:rsid w:val="00817EEC"/>
    <w:rsid w:val="00817F71"/>
    <w:rsid w:val="00820424"/>
    <w:rsid w:val="008204D0"/>
    <w:rsid w:val="00820BAB"/>
    <w:rsid w:val="00820D57"/>
    <w:rsid w:val="00821162"/>
    <w:rsid w:val="00821281"/>
    <w:rsid w:val="008212E1"/>
    <w:rsid w:val="0082152F"/>
    <w:rsid w:val="00822686"/>
    <w:rsid w:val="00822CDF"/>
    <w:rsid w:val="00822F7A"/>
    <w:rsid w:val="00822FB9"/>
    <w:rsid w:val="008236E4"/>
    <w:rsid w:val="0082377D"/>
    <w:rsid w:val="008242F0"/>
    <w:rsid w:val="00824983"/>
    <w:rsid w:val="00824B29"/>
    <w:rsid w:val="00824C46"/>
    <w:rsid w:val="00824CE3"/>
    <w:rsid w:val="00825103"/>
    <w:rsid w:val="00825308"/>
    <w:rsid w:val="00825653"/>
    <w:rsid w:val="00825791"/>
    <w:rsid w:val="00825853"/>
    <w:rsid w:val="008258B1"/>
    <w:rsid w:val="00826081"/>
    <w:rsid w:val="008264E6"/>
    <w:rsid w:val="008266E4"/>
    <w:rsid w:val="008269E9"/>
    <w:rsid w:val="00826E8B"/>
    <w:rsid w:val="00827046"/>
    <w:rsid w:val="00827594"/>
    <w:rsid w:val="00827E5E"/>
    <w:rsid w:val="00827EC1"/>
    <w:rsid w:val="00827FB7"/>
    <w:rsid w:val="00830073"/>
    <w:rsid w:val="00830218"/>
    <w:rsid w:val="00830E50"/>
    <w:rsid w:val="008312A5"/>
    <w:rsid w:val="00831826"/>
    <w:rsid w:val="00831911"/>
    <w:rsid w:val="008322B7"/>
    <w:rsid w:val="0083242E"/>
    <w:rsid w:val="00832485"/>
    <w:rsid w:val="00832ACE"/>
    <w:rsid w:val="00832AF2"/>
    <w:rsid w:val="00832B6B"/>
    <w:rsid w:val="008330A7"/>
    <w:rsid w:val="0083316F"/>
    <w:rsid w:val="0083321E"/>
    <w:rsid w:val="0083359E"/>
    <w:rsid w:val="00833887"/>
    <w:rsid w:val="00833D29"/>
    <w:rsid w:val="00834555"/>
    <w:rsid w:val="00834EC0"/>
    <w:rsid w:val="0083574D"/>
    <w:rsid w:val="00835860"/>
    <w:rsid w:val="0083593B"/>
    <w:rsid w:val="00835BE5"/>
    <w:rsid w:val="00835D52"/>
    <w:rsid w:val="00835E80"/>
    <w:rsid w:val="0083614B"/>
    <w:rsid w:val="00836C69"/>
    <w:rsid w:val="00837557"/>
    <w:rsid w:val="0083759A"/>
    <w:rsid w:val="008375BD"/>
    <w:rsid w:val="0083777D"/>
    <w:rsid w:val="00837CB2"/>
    <w:rsid w:val="00837FDD"/>
    <w:rsid w:val="008400AF"/>
    <w:rsid w:val="008408C0"/>
    <w:rsid w:val="00841169"/>
    <w:rsid w:val="008412C7"/>
    <w:rsid w:val="0084186F"/>
    <w:rsid w:val="00841D4E"/>
    <w:rsid w:val="00842204"/>
    <w:rsid w:val="0084261E"/>
    <w:rsid w:val="00842A16"/>
    <w:rsid w:val="00843118"/>
    <w:rsid w:val="0084351A"/>
    <w:rsid w:val="008438C2"/>
    <w:rsid w:val="00843E82"/>
    <w:rsid w:val="008441E5"/>
    <w:rsid w:val="008443B1"/>
    <w:rsid w:val="00844DB3"/>
    <w:rsid w:val="00845163"/>
    <w:rsid w:val="008455E5"/>
    <w:rsid w:val="00845796"/>
    <w:rsid w:val="008458AB"/>
    <w:rsid w:val="00845B1E"/>
    <w:rsid w:val="0084613D"/>
    <w:rsid w:val="008463F7"/>
    <w:rsid w:val="00846454"/>
    <w:rsid w:val="0084680B"/>
    <w:rsid w:val="00846AA6"/>
    <w:rsid w:val="00846D03"/>
    <w:rsid w:val="00846ED9"/>
    <w:rsid w:val="008472D4"/>
    <w:rsid w:val="008502B1"/>
    <w:rsid w:val="00850610"/>
    <w:rsid w:val="00850A0B"/>
    <w:rsid w:val="00850B82"/>
    <w:rsid w:val="00850C90"/>
    <w:rsid w:val="00850CDC"/>
    <w:rsid w:val="00851121"/>
    <w:rsid w:val="0085114E"/>
    <w:rsid w:val="00851191"/>
    <w:rsid w:val="00851475"/>
    <w:rsid w:val="00851811"/>
    <w:rsid w:val="00851AFA"/>
    <w:rsid w:val="00851D15"/>
    <w:rsid w:val="0085207A"/>
    <w:rsid w:val="00852776"/>
    <w:rsid w:val="00852B80"/>
    <w:rsid w:val="00852C64"/>
    <w:rsid w:val="00852F01"/>
    <w:rsid w:val="0085311A"/>
    <w:rsid w:val="008537C9"/>
    <w:rsid w:val="00853AB2"/>
    <w:rsid w:val="00854361"/>
    <w:rsid w:val="00854700"/>
    <w:rsid w:val="008548EE"/>
    <w:rsid w:val="0085546A"/>
    <w:rsid w:val="008558DD"/>
    <w:rsid w:val="0085596A"/>
    <w:rsid w:val="00855A95"/>
    <w:rsid w:val="00855E8F"/>
    <w:rsid w:val="0085650A"/>
    <w:rsid w:val="00857458"/>
    <w:rsid w:val="008576EE"/>
    <w:rsid w:val="008577E1"/>
    <w:rsid w:val="00857CD7"/>
    <w:rsid w:val="00857EAE"/>
    <w:rsid w:val="00860499"/>
    <w:rsid w:val="008606A7"/>
    <w:rsid w:val="00860FC5"/>
    <w:rsid w:val="0086150A"/>
    <w:rsid w:val="0086156A"/>
    <w:rsid w:val="008617AF"/>
    <w:rsid w:val="00861999"/>
    <w:rsid w:val="00861C34"/>
    <w:rsid w:val="00861F84"/>
    <w:rsid w:val="0086202B"/>
    <w:rsid w:val="00862306"/>
    <w:rsid w:val="008626DE"/>
    <w:rsid w:val="00862908"/>
    <w:rsid w:val="008629A1"/>
    <w:rsid w:val="00862FFC"/>
    <w:rsid w:val="008632CC"/>
    <w:rsid w:val="00863487"/>
    <w:rsid w:val="008638DB"/>
    <w:rsid w:val="00863BE1"/>
    <w:rsid w:val="00863EE9"/>
    <w:rsid w:val="0086440F"/>
    <w:rsid w:val="008644D5"/>
    <w:rsid w:val="008646E0"/>
    <w:rsid w:val="0086587F"/>
    <w:rsid w:val="00865CF9"/>
    <w:rsid w:val="0086658D"/>
    <w:rsid w:val="008668E8"/>
    <w:rsid w:val="0086691B"/>
    <w:rsid w:val="00866989"/>
    <w:rsid w:val="00866EB8"/>
    <w:rsid w:val="00866ED0"/>
    <w:rsid w:val="00866FD1"/>
    <w:rsid w:val="008670C7"/>
    <w:rsid w:val="0086735F"/>
    <w:rsid w:val="008673F4"/>
    <w:rsid w:val="00870648"/>
    <w:rsid w:val="00870B76"/>
    <w:rsid w:val="00870C8D"/>
    <w:rsid w:val="008717ED"/>
    <w:rsid w:val="008719CB"/>
    <w:rsid w:val="00871B70"/>
    <w:rsid w:val="008725E3"/>
    <w:rsid w:val="0087295D"/>
    <w:rsid w:val="008731E6"/>
    <w:rsid w:val="00873A5C"/>
    <w:rsid w:val="00873C27"/>
    <w:rsid w:val="00873E10"/>
    <w:rsid w:val="00874ADB"/>
    <w:rsid w:val="00875253"/>
    <w:rsid w:val="00876508"/>
    <w:rsid w:val="008770AC"/>
    <w:rsid w:val="00877258"/>
    <w:rsid w:val="00877312"/>
    <w:rsid w:val="00877A09"/>
    <w:rsid w:val="00877A29"/>
    <w:rsid w:val="00877A47"/>
    <w:rsid w:val="00877EFC"/>
    <w:rsid w:val="008804E2"/>
    <w:rsid w:val="00881408"/>
    <w:rsid w:val="0088157B"/>
    <w:rsid w:val="00881C3A"/>
    <w:rsid w:val="00882262"/>
    <w:rsid w:val="008822B8"/>
    <w:rsid w:val="00882595"/>
    <w:rsid w:val="00882A51"/>
    <w:rsid w:val="00882BD9"/>
    <w:rsid w:val="00882DDA"/>
    <w:rsid w:val="008838B0"/>
    <w:rsid w:val="008838C6"/>
    <w:rsid w:val="008838CC"/>
    <w:rsid w:val="00883B1D"/>
    <w:rsid w:val="00883BD9"/>
    <w:rsid w:val="00884BA0"/>
    <w:rsid w:val="00884D57"/>
    <w:rsid w:val="00885735"/>
    <w:rsid w:val="008857BA"/>
    <w:rsid w:val="0088583F"/>
    <w:rsid w:val="00885D5A"/>
    <w:rsid w:val="0088732C"/>
    <w:rsid w:val="008873F1"/>
    <w:rsid w:val="00887C55"/>
    <w:rsid w:val="008904E0"/>
    <w:rsid w:val="008907EC"/>
    <w:rsid w:val="00890954"/>
    <w:rsid w:val="008909DC"/>
    <w:rsid w:val="00890A9D"/>
    <w:rsid w:val="00890E4A"/>
    <w:rsid w:val="0089160D"/>
    <w:rsid w:val="008916C4"/>
    <w:rsid w:val="00891CA9"/>
    <w:rsid w:val="008923CD"/>
    <w:rsid w:val="00892821"/>
    <w:rsid w:val="00892C2B"/>
    <w:rsid w:val="0089301F"/>
    <w:rsid w:val="0089321F"/>
    <w:rsid w:val="0089352B"/>
    <w:rsid w:val="008939A1"/>
    <w:rsid w:val="00893C66"/>
    <w:rsid w:val="00893C83"/>
    <w:rsid w:val="00893FF2"/>
    <w:rsid w:val="0089456D"/>
    <w:rsid w:val="00894832"/>
    <w:rsid w:val="00894A96"/>
    <w:rsid w:val="00895253"/>
    <w:rsid w:val="00896541"/>
    <w:rsid w:val="00896663"/>
    <w:rsid w:val="008966DF"/>
    <w:rsid w:val="00896BB7"/>
    <w:rsid w:val="00896C9F"/>
    <w:rsid w:val="00896D20"/>
    <w:rsid w:val="00896E70"/>
    <w:rsid w:val="00896FD9"/>
    <w:rsid w:val="008972B2"/>
    <w:rsid w:val="008977F5"/>
    <w:rsid w:val="00897B0D"/>
    <w:rsid w:val="00897E64"/>
    <w:rsid w:val="00897F77"/>
    <w:rsid w:val="008A0296"/>
    <w:rsid w:val="008A0619"/>
    <w:rsid w:val="008A0842"/>
    <w:rsid w:val="008A0945"/>
    <w:rsid w:val="008A0AF0"/>
    <w:rsid w:val="008A0E9E"/>
    <w:rsid w:val="008A0F2B"/>
    <w:rsid w:val="008A12F1"/>
    <w:rsid w:val="008A144E"/>
    <w:rsid w:val="008A188C"/>
    <w:rsid w:val="008A1F2D"/>
    <w:rsid w:val="008A2122"/>
    <w:rsid w:val="008A2BB9"/>
    <w:rsid w:val="008A37C4"/>
    <w:rsid w:val="008A3800"/>
    <w:rsid w:val="008A3F37"/>
    <w:rsid w:val="008A471C"/>
    <w:rsid w:val="008A4CAE"/>
    <w:rsid w:val="008A4CD8"/>
    <w:rsid w:val="008A51EB"/>
    <w:rsid w:val="008A54E1"/>
    <w:rsid w:val="008A55F8"/>
    <w:rsid w:val="008A583B"/>
    <w:rsid w:val="008A5D6E"/>
    <w:rsid w:val="008A6231"/>
    <w:rsid w:val="008A643F"/>
    <w:rsid w:val="008A6483"/>
    <w:rsid w:val="008A6645"/>
    <w:rsid w:val="008A6B4A"/>
    <w:rsid w:val="008B0349"/>
    <w:rsid w:val="008B0509"/>
    <w:rsid w:val="008B0539"/>
    <w:rsid w:val="008B1BFF"/>
    <w:rsid w:val="008B1F0D"/>
    <w:rsid w:val="008B2091"/>
    <w:rsid w:val="008B2DE5"/>
    <w:rsid w:val="008B3376"/>
    <w:rsid w:val="008B34DE"/>
    <w:rsid w:val="008B4079"/>
    <w:rsid w:val="008B40DF"/>
    <w:rsid w:val="008B44D8"/>
    <w:rsid w:val="008B4DDC"/>
    <w:rsid w:val="008B50A0"/>
    <w:rsid w:val="008B5D1E"/>
    <w:rsid w:val="008B5F4B"/>
    <w:rsid w:val="008B6454"/>
    <w:rsid w:val="008B6B67"/>
    <w:rsid w:val="008B6B86"/>
    <w:rsid w:val="008B71BD"/>
    <w:rsid w:val="008B731F"/>
    <w:rsid w:val="008B7C27"/>
    <w:rsid w:val="008C0613"/>
    <w:rsid w:val="008C061F"/>
    <w:rsid w:val="008C0A87"/>
    <w:rsid w:val="008C0B89"/>
    <w:rsid w:val="008C24A3"/>
    <w:rsid w:val="008C2763"/>
    <w:rsid w:val="008C27AB"/>
    <w:rsid w:val="008C2CDD"/>
    <w:rsid w:val="008C3092"/>
    <w:rsid w:val="008C31E1"/>
    <w:rsid w:val="008C3335"/>
    <w:rsid w:val="008C3843"/>
    <w:rsid w:val="008C3DFE"/>
    <w:rsid w:val="008C4630"/>
    <w:rsid w:val="008C47E1"/>
    <w:rsid w:val="008C4D17"/>
    <w:rsid w:val="008C5CE2"/>
    <w:rsid w:val="008C6484"/>
    <w:rsid w:val="008C658C"/>
    <w:rsid w:val="008C6681"/>
    <w:rsid w:val="008C67CB"/>
    <w:rsid w:val="008C6B09"/>
    <w:rsid w:val="008C6C78"/>
    <w:rsid w:val="008C72A2"/>
    <w:rsid w:val="008C75E4"/>
    <w:rsid w:val="008D0610"/>
    <w:rsid w:val="008D1353"/>
    <w:rsid w:val="008D1354"/>
    <w:rsid w:val="008D19F3"/>
    <w:rsid w:val="008D20DC"/>
    <w:rsid w:val="008D21CE"/>
    <w:rsid w:val="008D2740"/>
    <w:rsid w:val="008D28CB"/>
    <w:rsid w:val="008D2A7C"/>
    <w:rsid w:val="008D2C15"/>
    <w:rsid w:val="008D2D43"/>
    <w:rsid w:val="008D39A5"/>
    <w:rsid w:val="008D3A1A"/>
    <w:rsid w:val="008D4280"/>
    <w:rsid w:val="008D43BC"/>
    <w:rsid w:val="008D4BE7"/>
    <w:rsid w:val="008D5554"/>
    <w:rsid w:val="008D5975"/>
    <w:rsid w:val="008D5A1A"/>
    <w:rsid w:val="008D5B48"/>
    <w:rsid w:val="008D5BAE"/>
    <w:rsid w:val="008D6235"/>
    <w:rsid w:val="008D6E46"/>
    <w:rsid w:val="008D6F26"/>
    <w:rsid w:val="008D723F"/>
    <w:rsid w:val="008D7280"/>
    <w:rsid w:val="008E00F1"/>
    <w:rsid w:val="008E0949"/>
    <w:rsid w:val="008E0B4F"/>
    <w:rsid w:val="008E1478"/>
    <w:rsid w:val="008E1824"/>
    <w:rsid w:val="008E18AB"/>
    <w:rsid w:val="008E19AF"/>
    <w:rsid w:val="008E1A9A"/>
    <w:rsid w:val="008E1B77"/>
    <w:rsid w:val="008E1BE5"/>
    <w:rsid w:val="008E1D19"/>
    <w:rsid w:val="008E1DB2"/>
    <w:rsid w:val="008E2179"/>
    <w:rsid w:val="008E2D5C"/>
    <w:rsid w:val="008E2F93"/>
    <w:rsid w:val="008E3126"/>
    <w:rsid w:val="008E3815"/>
    <w:rsid w:val="008E39CD"/>
    <w:rsid w:val="008E3D5B"/>
    <w:rsid w:val="008E400C"/>
    <w:rsid w:val="008E407F"/>
    <w:rsid w:val="008E4111"/>
    <w:rsid w:val="008E460C"/>
    <w:rsid w:val="008E4C7E"/>
    <w:rsid w:val="008E4E87"/>
    <w:rsid w:val="008E57B0"/>
    <w:rsid w:val="008E5B05"/>
    <w:rsid w:val="008E5C09"/>
    <w:rsid w:val="008E6089"/>
    <w:rsid w:val="008E66B1"/>
    <w:rsid w:val="008E691C"/>
    <w:rsid w:val="008E6CE5"/>
    <w:rsid w:val="008E743A"/>
    <w:rsid w:val="008E79DE"/>
    <w:rsid w:val="008F0723"/>
    <w:rsid w:val="008F0C3A"/>
    <w:rsid w:val="008F124B"/>
    <w:rsid w:val="008F183A"/>
    <w:rsid w:val="008F24AF"/>
    <w:rsid w:val="008F255A"/>
    <w:rsid w:val="008F276D"/>
    <w:rsid w:val="008F2F92"/>
    <w:rsid w:val="008F36D4"/>
    <w:rsid w:val="008F376E"/>
    <w:rsid w:val="008F4269"/>
    <w:rsid w:val="008F42FF"/>
    <w:rsid w:val="008F45AB"/>
    <w:rsid w:val="008F46AE"/>
    <w:rsid w:val="008F4B3A"/>
    <w:rsid w:val="008F4B50"/>
    <w:rsid w:val="008F4F4D"/>
    <w:rsid w:val="008F52DC"/>
    <w:rsid w:val="008F5540"/>
    <w:rsid w:val="008F5546"/>
    <w:rsid w:val="008F636B"/>
    <w:rsid w:val="008F6478"/>
    <w:rsid w:val="008F67A3"/>
    <w:rsid w:val="008F7DC0"/>
    <w:rsid w:val="008F7F28"/>
    <w:rsid w:val="009000D9"/>
    <w:rsid w:val="009006C5"/>
    <w:rsid w:val="0090076A"/>
    <w:rsid w:val="00900F4C"/>
    <w:rsid w:val="00901723"/>
    <w:rsid w:val="00901932"/>
    <w:rsid w:val="00901D40"/>
    <w:rsid w:val="00902219"/>
    <w:rsid w:val="00902407"/>
    <w:rsid w:val="00902513"/>
    <w:rsid w:val="009025D5"/>
    <w:rsid w:val="00902A56"/>
    <w:rsid w:val="00903142"/>
    <w:rsid w:val="00903568"/>
    <w:rsid w:val="00903C32"/>
    <w:rsid w:val="00903DC5"/>
    <w:rsid w:val="00903EAB"/>
    <w:rsid w:val="00903F8E"/>
    <w:rsid w:val="00904062"/>
    <w:rsid w:val="00904111"/>
    <w:rsid w:val="009045B7"/>
    <w:rsid w:val="00904698"/>
    <w:rsid w:val="009047B5"/>
    <w:rsid w:val="00904C69"/>
    <w:rsid w:val="00904CEF"/>
    <w:rsid w:val="00904EDB"/>
    <w:rsid w:val="009053D8"/>
    <w:rsid w:val="0090543A"/>
    <w:rsid w:val="00905600"/>
    <w:rsid w:val="00905B5B"/>
    <w:rsid w:val="00905DBA"/>
    <w:rsid w:val="009068F0"/>
    <w:rsid w:val="00906F5A"/>
    <w:rsid w:val="0091033E"/>
    <w:rsid w:val="009107B1"/>
    <w:rsid w:val="00910C71"/>
    <w:rsid w:val="00910DF2"/>
    <w:rsid w:val="00911153"/>
    <w:rsid w:val="009114CB"/>
    <w:rsid w:val="00911865"/>
    <w:rsid w:val="00911CFE"/>
    <w:rsid w:val="00911E73"/>
    <w:rsid w:val="00911F4B"/>
    <w:rsid w:val="00912B44"/>
    <w:rsid w:val="00912CED"/>
    <w:rsid w:val="00913850"/>
    <w:rsid w:val="00913D30"/>
    <w:rsid w:val="009143E0"/>
    <w:rsid w:val="009146DA"/>
    <w:rsid w:val="00914A00"/>
    <w:rsid w:val="00914FC5"/>
    <w:rsid w:val="00915A81"/>
    <w:rsid w:val="00915BFA"/>
    <w:rsid w:val="00915D62"/>
    <w:rsid w:val="00915E3E"/>
    <w:rsid w:val="009162E2"/>
    <w:rsid w:val="0091686B"/>
    <w:rsid w:val="009169C0"/>
    <w:rsid w:val="00916A89"/>
    <w:rsid w:val="00916B35"/>
    <w:rsid w:val="00917684"/>
    <w:rsid w:val="009178B7"/>
    <w:rsid w:val="00917B41"/>
    <w:rsid w:val="00917DB8"/>
    <w:rsid w:val="00917DD4"/>
    <w:rsid w:val="00917E2E"/>
    <w:rsid w:val="00920B62"/>
    <w:rsid w:val="00920F42"/>
    <w:rsid w:val="00921D23"/>
    <w:rsid w:val="00922ADF"/>
    <w:rsid w:val="00922BB6"/>
    <w:rsid w:val="009237DF"/>
    <w:rsid w:val="00923869"/>
    <w:rsid w:val="0092394E"/>
    <w:rsid w:val="009244BF"/>
    <w:rsid w:val="00924E00"/>
    <w:rsid w:val="00924EFD"/>
    <w:rsid w:val="00925225"/>
    <w:rsid w:val="009255F7"/>
    <w:rsid w:val="00925C35"/>
    <w:rsid w:val="00925C38"/>
    <w:rsid w:val="00925D2A"/>
    <w:rsid w:val="0092605A"/>
    <w:rsid w:val="009266BC"/>
    <w:rsid w:val="00926A17"/>
    <w:rsid w:val="00926C9A"/>
    <w:rsid w:val="00927026"/>
    <w:rsid w:val="0092721B"/>
    <w:rsid w:val="00927A5A"/>
    <w:rsid w:val="00927D57"/>
    <w:rsid w:val="009304CD"/>
    <w:rsid w:val="0093057E"/>
    <w:rsid w:val="009306BF"/>
    <w:rsid w:val="0093088C"/>
    <w:rsid w:val="0093090C"/>
    <w:rsid w:val="00930D09"/>
    <w:rsid w:val="009310A7"/>
    <w:rsid w:val="009314F6"/>
    <w:rsid w:val="009316F2"/>
    <w:rsid w:val="00931922"/>
    <w:rsid w:val="00931DC1"/>
    <w:rsid w:val="00932310"/>
    <w:rsid w:val="009337C3"/>
    <w:rsid w:val="009337EC"/>
    <w:rsid w:val="00933988"/>
    <w:rsid w:val="00933A0B"/>
    <w:rsid w:val="00933F96"/>
    <w:rsid w:val="009340D5"/>
    <w:rsid w:val="00934229"/>
    <w:rsid w:val="009343CE"/>
    <w:rsid w:val="009344C5"/>
    <w:rsid w:val="009345D6"/>
    <w:rsid w:val="00934623"/>
    <w:rsid w:val="00934752"/>
    <w:rsid w:val="00934775"/>
    <w:rsid w:val="009348C9"/>
    <w:rsid w:val="009349E2"/>
    <w:rsid w:val="00934FC3"/>
    <w:rsid w:val="009352BD"/>
    <w:rsid w:val="00936542"/>
    <w:rsid w:val="00936A7D"/>
    <w:rsid w:val="00936BA9"/>
    <w:rsid w:val="00936DF6"/>
    <w:rsid w:val="00937604"/>
    <w:rsid w:val="00937663"/>
    <w:rsid w:val="00937680"/>
    <w:rsid w:val="00937B5E"/>
    <w:rsid w:val="00937F43"/>
    <w:rsid w:val="00937FC1"/>
    <w:rsid w:val="009401FA"/>
    <w:rsid w:val="00940635"/>
    <w:rsid w:val="00940690"/>
    <w:rsid w:val="00940BD5"/>
    <w:rsid w:val="00940FF5"/>
    <w:rsid w:val="009410C1"/>
    <w:rsid w:val="00941163"/>
    <w:rsid w:val="009419EE"/>
    <w:rsid w:val="00941A6D"/>
    <w:rsid w:val="00942487"/>
    <w:rsid w:val="00942CDA"/>
    <w:rsid w:val="009434E3"/>
    <w:rsid w:val="009437E0"/>
    <w:rsid w:val="009439EB"/>
    <w:rsid w:val="00943BCF"/>
    <w:rsid w:val="00944BEA"/>
    <w:rsid w:val="00945058"/>
    <w:rsid w:val="00945072"/>
    <w:rsid w:val="00945094"/>
    <w:rsid w:val="00945169"/>
    <w:rsid w:val="00945243"/>
    <w:rsid w:val="0094566B"/>
    <w:rsid w:val="00945AA2"/>
    <w:rsid w:val="0094683C"/>
    <w:rsid w:val="00946C20"/>
    <w:rsid w:val="0094747A"/>
    <w:rsid w:val="00947640"/>
    <w:rsid w:val="00947E51"/>
    <w:rsid w:val="00950557"/>
    <w:rsid w:val="009508E5"/>
    <w:rsid w:val="00951167"/>
    <w:rsid w:val="0095173C"/>
    <w:rsid w:val="00951D1F"/>
    <w:rsid w:val="009524BE"/>
    <w:rsid w:val="009526BB"/>
    <w:rsid w:val="00952711"/>
    <w:rsid w:val="009531B3"/>
    <w:rsid w:val="009531D2"/>
    <w:rsid w:val="00953622"/>
    <w:rsid w:val="00953630"/>
    <w:rsid w:val="00953637"/>
    <w:rsid w:val="009543F4"/>
    <w:rsid w:val="00954F4B"/>
    <w:rsid w:val="00955716"/>
    <w:rsid w:val="0095593B"/>
    <w:rsid w:val="00955A0C"/>
    <w:rsid w:val="00955D4A"/>
    <w:rsid w:val="00955E54"/>
    <w:rsid w:val="009565B2"/>
    <w:rsid w:val="00956723"/>
    <w:rsid w:val="009567FE"/>
    <w:rsid w:val="00956E89"/>
    <w:rsid w:val="00956FDD"/>
    <w:rsid w:val="00957F42"/>
    <w:rsid w:val="00960057"/>
    <w:rsid w:val="0096092F"/>
    <w:rsid w:val="009609E1"/>
    <w:rsid w:val="00961D2C"/>
    <w:rsid w:val="009622A6"/>
    <w:rsid w:val="00962F95"/>
    <w:rsid w:val="00962FFD"/>
    <w:rsid w:val="009633DA"/>
    <w:rsid w:val="009639D4"/>
    <w:rsid w:val="00963B32"/>
    <w:rsid w:val="00963CE2"/>
    <w:rsid w:val="00964140"/>
    <w:rsid w:val="0096470C"/>
    <w:rsid w:val="00965105"/>
    <w:rsid w:val="00965700"/>
    <w:rsid w:val="009657D2"/>
    <w:rsid w:val="00965898"/>
    <w:rsid w:val="00965E43"/>
    <w:rsid w:val="00965E67"/>
    <w:rsid w:val="009662A6"/>
    <w:rsid w:val="009664B5"/>
    <w:rsid w:val="00966C20"/>
    <w:rsid w:val="00966E45"/>
    <w:rsid w:val="0096728F"/>
    <w:rsid w:val="009672DE"/>
    <w:rsid w:val="009673DD"/>
    <w:rsid w:val="00967E23"/>
    <w:rsid w:val="0097028F"/>
    <w:rsid w:val="0097050C"/>
    <w:rsid w:val="009707CF"/>
    <w:rsid w:val="009709D3"/>
    <w:rsid w:val="00970A4E"/>
    <w:rsid w:val="00970C4C"/>
    <w:rsid w:val="00971105"/>
    <w:rsid w:val="00971408"/>
    <w:rsid w:val="0097195A"/>
    <w:rsid w:val="00971D21"/>
    <w:rsid w:val="009723B9"/>
    <w:rsid w:val="009726B0"/>
    <w:rsid w:val="0097270D"/>
    <w:rsid w:val="009730C1"/>
    <w:rsid w:val="00973339"/>
    <w:rsid w:val="00974126"/>
    <w:rsid w:val="00974A3D"/>
    <w:rsid w:val="00975847"/>
    <w:rsid w:val="009760F1"/>
    <w:rsid w:val="0097623B"/>
    <w:rsid w:val="009767A1"/>
    <w:rsid w:val="009768C1"/>
    <w:rsid w:val="00976AA5"/>
    <w:rsid w:val="0097745F"/>
    <w:rsid w:val="00977E3C"/>
    <w:rsid w:val="00980299"/>
    <w:rsid w:val="0098086C"/>
    <w:rsid w:val="009809D9"/>
    <w:rsid w:val="00980A0F"/>
    <w:rsid w:val="0098123D"/>
    <w:rsid w:val="009823FE"/>
    <w:rsid w:val="00982BC1"/>
    <w:rsid w:val="00982DD4"/>
    <w:rsid w:val="009833AD"/>
    <w:rsid w:val="00983B15"/>
    <w:rsid w:val="00984D5D"/>
    <w:rsid w:val="0098545C"/>
    <w:rsid w:val="00985981"/>
    <w:rsid w:val="009861B4"/>
    <w:rsid w:val="009861CC"/>
    <w:rsid w:val="00986220"/>
    <w:rsid w:val="009863F2"/>
    <w:rsid w:val="009864FB"/>
    <w:rsid w:val="00986BED"/>
    <w:rsid w:val="00986F4A"/>
    <w:rsid w:val="00987222"/>
    <w:rsid w:val="00987398"/>
    <w:rsid w:val="00987945"/>
    <w:rsid w:val="00987B47"/>
    <w:rsid w:val="00987C88"/>
    <w:rsid w:val="00987E72"/>
    <w:rsid w:val="009903A6"/>
    <w:rsid w:val="009907E6"/>
    <w:rsid w:val="00990D26"/>
    <w:rsid w:val="0099115F"/>
    <w:rsid w:val="00991DB9"/>
    <w:rsid w:val="00991DD0"/>
    <w:rsid w:val="009926DA"/>
    <w:rsid w:val="0099289D"/>
    <w:rsid w:val="00992EA0"/>
    <w:rsid w:val="009933D1"/>
    <w:rsid w:val="009934CF"/>
    <w:rsid w:val="009936D6"/>
    <w:rsid w:val="009937D7"/>
    <w:rsid w:val="00993C17"/>
    <w:rsid w:val="0099404C"/>
    <w:rsid w:val="009942C8"/>
    <w:rsid w:val="00994637"/>
    <w:rsid w:val="009946D2"/>
    <w:rsid w:val="00994C91"/>
    <w:rsid w:val="00995142"/>
    <w:rsid w:val="009958B4"/>
    <w:rsid w:val="00995E41"/>
    <w:rsid w:val="00995EA8"/>
    <w:rsid w:val="00995F41"/>
    <w:rsid w:val="00995FC6"/>
    <w:rsid w:val="00996770"/>
    <w:rsid w:val="00996F9A"/>
    <w:rsid w:val="009973F5"/>
    <w:rsid w:val="0099744A"/>
    <w:rsid w:val="00997481"/>
    <w:rsid w:val="00997562"/>
    <w:rsid w:val="009979DD"/>
    <w:rsid w:val="00997B07"/>
    <w:rsid w:val="009A0075"/>
    <w:rsid w:val="009A025B"/>
    <w:rsid w:val="009A06CD"/>
    <w:rsid w:val="009A0701"/>
    <w:rsid w:val="009A0983"/>
    <w:rsid w:val="009A0C20"/>
    <w:rsid w:val="009A0C21"/>
    <w:rsid w:val="009A10C7"/>
    <w:rsid w:val="009A1208"/>
    <w:rsid w:val="009A143B"/>
    <w:rsid w:val="009A1AFE"/>
    <w:rsid w:val="009A1BB4"/>
    <w:rsid w:val="009A1D64"/>
    <w:rsid w:val="009A2529"/>
    <w:rsid w:val="009A2918"/>
    <w:rsid w:val="009A2CDC"/>
    <w:rsid w:val="009A2F88"/>
    <w:rsid w:val="009A32A9"/>
    <w:rsid w:val="009A3949"/>
    <w:rsid w:val="009A3A9A"/>
    <w:rsid w:val="009A3B2B"/>
    <w:rsid w:val="009A4358"/>
    <w:rsid w:val="009A44E5"/>
    <w:rsid w:val="009A5DC5"/>
    <w:rsid w:val="009A61C5"/>
    <w:rsid w:val="009A65F1"/>
    <w:rsid w:val="009A65FF"/>
    <w:rsid w:val="009A66F7"/>
    <w:rsid w:val="009A7097"/>
    <w:rsid w:val="009A7F72"/>
    <w:rsid w:val="009B0753"/>
    <w:rsid w:val="009B07EA"/>
    <w:rsid w:val="009B0801"/>
    <w:rsid w:val="009B1076"/>
    <w:rsid w:val="009B164F"/>
    <w:rsid w:val="009B1B68"/>
    <w:rsid w:val="009B1BCD"/>
    <w:rsid w:val="009B21D4"/>
    <w:rsid w:val="009B242F"/>
    <w:rsid w:val="009B29BB"/>
    <w:rsid w:val="009B2CCA"/>
    <w:rsid w:val="009B2D64"/>
    <w:rsid w:val="009B2F6F"/>
    <w:rsid w:val="009B32F2"/>
    <w:rsid w:val="009B3304"/>
    <w:rsid w:val="009B33C7"/>
    <w:rsid w:val="009B33EA"/>
    <w:rsid w:val="009B3E5E"/>
    <w:rsid w:val="009B4C73"/>
    <w:rsid w:val="009B5237"/>
    <w:rsid w:val="009B5696"/>
    <w:rsid w:val="009B57F8"/>
    <w:rsid w:val="009B5919"/>
    <w:rsid w:val="009B5AF2"/>
    <w:rsid w:val="009B5F60"/>
    <w:rsid w:val="009B62E6"/>
    <w:rsid w:val="009B6513"/>
    <w:rsid w:val="009B6808"/>
    <w:rsid w:val="009B6CEB"/>
    <w:rsid w:val="009B71EF"/>
    <w:rsid w:val="009B7EDE"/>
    <w:rsid w:val="009C02B1"/>
    <w:rsid w:val="009C050C"/>
    <w:rsid w:val="009C061A"/>
    <w:rsid w:val="009C0693"/>
    <w:rsid w:val="009C154A"/>
    <w:rsid w:val="009C1628"/>
    <w:rsid w:val="009C1D63"/>
    <w:rsid w:val="009C21DA"/>
    <w:rsid w:val="009C240A"/>
    <w:rsid w:val="009C241F"/>
    <w:rsid w:val="009C2E58"/>
    <w:rsid w:val="009C35EF"/>
    <w:rsid w:val="009C39FC"/>
    <w:rsid w:val="009C3B85"/>
    <w:rsid w:val="009C3FCE"/>
    <w:rsid w:val="009C4228"/>
    <w:rsid w:val="009C4743"/>
    <w:rsid w:val="009C481A"/>
    <w:rsid w:val="009C48C1"/>
    <w:rsid w:val="009C4B28"/>
    <w:rsid w:val="009C4C44"/>
    <w:rsid w:val="009C5615"/>
    <w:rsid w:val="009C5893"/>
    <w:rsid w:val="009C5F17"/>
    <w:rsid w:val="009C6066"/>
    <w:rsid w:val="009C6DB7"/>
    <w:rsid w:val="009C7183"/>
    <w:rsid w:val="009C74D9"/>
    <w:rsid w:val="009C7884"/>
    <w:rsid w:val="009C7A36"/>
    <w:rsid w:val="009C7B9E"/>
    <w:rsid w:val="009C7ED4"/>
    <w:rsid w:val="009D0093"/>
    <w:rsid w:val="009D0696"/>
    <w:rsid w:val="009D088C"/>
    <w:rsid w:val="009D08D5"/>
    <w:rsid w:val="009D0AEA"/>
    <w:rsid w:val="009D0BAB"/>
    <w:rsid w:val="009D10E8"/>
    <w:rsid w:val="009D11CC"/>
    <w:rsid w:val="009D1931"/>
    <w:rsid w:val="009D1B26"/>
    <w:rsid w:val="009D1EB5"/>
    <w:rsid w:val="009D20BD"/>
    <w:rsid w:val="009D23A9"/>
    <w:rsid w:val="009D25DD"/>
    <w:rsid w:val="009D2B92"/>
    <w:rsid w:val="009D31BC"/>
    <w:rsid w:val="009D351D"/>
    <w:rsid w:val="009D3CDB"/>
    <w:rsid w:val="009D3E32"/>
    <w:rsid w:val="009D44A5"/>
    <w:rsid w:val="009D45DD"/>
    <w:rsid w:val="009D4A7F"/>
    <w:rsid w:val="009D5116"/>
    <w:rsid w:val="009D5910"/>
    <w:rsid w:val="009D6D0D"/>
    <w:rsid w:val="009D750C"/>
    <w:rsid w:val="009D75B8"/>
    <w:rsid w:val="009D7901"/>
    <w:rsid w:val="009D7D50"/>
    <w:rsid w:val="009D7F50"/>
    <w:rsid w:val="009E02F6"/>
    <w:rsid w:val="009E06D3"/>
    <w:rsid w:val="009E0BAA"/>
    <w:rsid w:val="009E0BE2"/>
    <w:rsid w:val="009E0C3C"/>
    <w:rsid w:val="009E0E62"/>
    <w:rsid w:val="009E1802"/>
    <w:rsid w:val="009E1CCF"/>
    <w:rsid w:val="009E1F4E"/>
    <w:rsid w:val="009E2235"/>
    <w:rsid w:val="009E28EC"/>
    <w:rsid w:val="009E2B56"/>
    <w:rsid w:val="009E2B94"/>
    <w:rsid w:val="009E3517"/>
    <w:rsid w:val="009E36F1"/>
    <w:rsid w:val="009E3EA6"/>
    <w:rsid w:val="009E4311"/>
    <w:rsid w:val="009E48C1"/>
    <w:rsid w:val="009E4C9F"/>
    <w:rsid w:val="009E4D67"/>
    <w:rsid w:val="009E5503"/>
    <w:rsid w:val="009E5AC8"/>
    <w:rsid w:val="009E5B96"/>
    <w:rsid w:val="009E609F"/>
    <w:rsid w:val="009E6A4C"/>
    <w:rsid w:val="009E6BD4"/>
    <w:rsid w:val="009E72EA"/>
    <w:rsid w:val="009E77C3"/>
    <w:rsid w:val="009E7C09"/>
    <w:rsid w:val="009F071F"/>
    <w:rsid w:val="009F083C"/>
    <w:rsid w:val="009F0983"/>
    <w:rsid w:val="009F0E81"/>
    <w:rsid w:val="009F12C1"/>
    <w:rsid w:val="009F1434"/>
    <w:rsid w:val="009F1B21"/>
    <w:rsid w:val="009F1B33"/>
    <w:rsid w:val="009F1BC2"/>
    <w:rsid w:val="009F1DB0"/>
    <w:rsid w:val="009F1F3A"/>
    <w:rsid w:val="009F2BCB"/>
    <w:rsid w:val="009F3316"/>
    <w:rsid w:val="009F339D"/>
    <w:rsid w:val="009F3ED4"/>
    <w:rsid w:val="009F4348"/>
    <w:rsid w:val="009F4436"/>
    <w:rsid w:val="009F45B4"/>
    <w:rsid w:val="009F4608"/>
    <w:rsid w:val="009F49EB"/>
    <w:rsid w:val="009F4CA6"/>
    <w:rsid w:val="009F5B20"/>
    <w:rsid w:val="009F5C6F"/>
    <w:rsid w:val="009F614F"/>
    <w:rsid w:val="009F7550"/>
    <w:rsid w:val="00A0009F"/>
    <w:rsid w:val="00A00C33"/>
    <w:rsid w:val="00A00C35"/>
    <w:rsid w:val="00A00CE4"/>
    <w:rsid w:val="00A00D0A"/>
    <w:rsid w:val="00A00D4E"/>
    <w:rsid w:val="00A01187"/>
    <w:rsid w:val="00A013FC"/>
    <w:rsid w:val="00A02538"/>
    <w:rsid w:val="00A027C6"/>
    <w:rsid w:val="00A02D49"/>
    <w:rsid w:val="00A02DE1"/>
    <w:rsid w:val="00A038A5"/>
    <w:rsid w:val="00A0391D"/>
    <w:rsid w:val="00A03AD7"/>
    <w:rsid w:val="00A03F09"/>
    <w:rsid w:val="00A03F21"/>
    <w:rsid w:val="00A04060"/>
    <w:rsid w:val="00A043A5"/>
    <w:rsid w:val="00A04654"/>
    <w:rsid w:val="00A04B4B"/>
    <w:rsid w:val="00A05940"/>
    <w:rsid w:val="00A05B87"/>
    <w:rsid w:val="00A05E76"/>
    <w:rsid w:val="00A06C40"/>
    <w:rsid w:val="00A07D0B"/>
    <w:rsid w:val="00A07EA8"/>
    <w:rsid w:val="00A07FA7"/>
    <w:rsid w:val="00A10232"/>
    <w:rsid w:val="00A106BF"/>
    <w:rsid w:val="00A10C31"/>
    <w:rsid w:val="00A11013"/>
    <w:rsid w:val="00A11042"/>
    <w:rsid w:val="00A111B5"/>
    <w:rsid w:val="00A11670"/>
    <w:rsid w:val="00A11843"/>
    <w:rsid w:val="00A127B3"/>
    <w:rsid w:val="00A127B9"/>
    <w:rsid w:val="00A12920"/>
    <w:rsid w:val="00A12978"/>
    <w:rsid w:val="00A12E24"/>
    <w:rsid w:val="00A12E98"/>
    <w:rsid w:val="00A1314A"/>
    <w:rsid w:val="00A133BE"/>
    <w:rsid w:val="00A13ACB"/>
    <w:rsid w:val="00A13ECB"/>
    <w:rsid w:val="00A13FF7"/>
    <w:rsid w:val="00A14516"/>
    <w:rsid w:val="00A14702"/>
    <w:rsid w:val="00A14801"/>
    <w:rsid w:val="00A14DFF"/>
    <w:rsid w:val="00A150EC"/>
    <w:rsid w:val="00A15325"/>
    <w:rsid w:val="00A1566B"/>
    <w:rsid w:val="00A1614A"/>
    <w:rsid w:val="00A168C4"/>
    <w:rsid w:val="00A16CF2"/>
    <w:rsid w:val="00A16F7E"/>
    <w:rsid w:val="00A17C4C"/>
    <w:rsid w:val="00A17CA0"/>
    <w:rsid w:val="00A20053"/>
    <w:rsid w:val="00A20143"/>
    <w:rsid w:val="00A202F4"/>
    <w:rsid w:val="00A2033C"/>
    <w:rsid w:val="00A2052D"/>
    <w:rsid w:val="00A20A70"/>
    <w:rsid w:val="00A218D2"/>
    <w:rsid w:val="00A21C7E"/>
    <w:rsid w:val="00A21E83"/>
    <w:rsid w:val="00A2220F"/>
    <w:rsid w:val="00A24627"/>
    <w:rsid w:val="00A24BD6"/>
    <w:rsid w:val="00A24C50"/>
    <w:rsid w:val="00A2541B"/>
    <w:rsid w:val="00A25442"/>
    <w:rsid w:val="00A2628D"/>
    <w:rsid w:val="00A26329"/>
    <w:rsid w:val="00A265CD"/>
    <w:rsid w:val="00A2681A"/>
    <w:rsid w:val="00A268ED"/>
    <w:rsid w:val="00A269DA"/>
    <w:rsid w:val="00A26E4B"/>
    <w:rsid w:val="00A26EA5"/>
    <w:rsid w:val="00A27201"/>
    <w:rsid w:val="00A2767A"/>
    <w:rsid w:val="00A2781B"/>
    <w:rsid w:val="00A27A8A"/>
    <w:rsid w:val="00A27DAE"/>
    <w:rsid w:val="00A27F52"/>
    <w:rsid w:val="00A27F67"/>
    <w:rsid w:val="00A300DA"/>
    <w:rsid w:val="00A302B7"/>
    <w:rsid w:val="00A30B64"/>
    <w:rsid w:val="00A30E82"/>
    <w:rsid w:val="00A31242"/>
    <w:rsid w:val="00A313CA"/>
    <w:rsid w:val="00A31FFF"/>
    <w:rsid w:val="00A32006"/>
    <w:rsid w:val="00A32121"/>
    <w:rsid w:val="00A32C24"/>
    <w:rsid w:val="00A3307F"/>
    <w:rsid w:val="00A3351C"/>
    <w:rsid w:val="00A335CA"/>
    <w:rsid w:val="00A33638"/>
    <w:rsid w:val="00A33971"/>
    <w:rsid w:val="00A33A55"/>
    <w:rsid w:val="00A33D81"/>
    <w:rsid w:val="00A343B1"/>
    <w:rsid w:val="00A34A05"/>
    <w:rsid w:val="00A34B52"/>
    <w:rsid w:val="00A34D04"/>
    <w:rsid w:val="00A3566E"/>
    <w:rsid w:val="00A35B10"/>
    <w:rsid w:val="00A35C3D"/>
    <w:rsid w:val="00A36667"/>
    <w:rsid w:val="00A3666E"/>
    <w:rsid w:val="00A36B9E"/>
    <w:rsid w:val="00A36D54"/>
    <w:rsid w:val="00A36F75"/>
    <w:rsid w:val="00A3704A"/>
    <w:rsid w:val="00A3717A"/>
    <w:rsid w:val="00A3764E"/>
    <w:rsid w:val="00A376C5"/>
    <w:rsid w:val="00A37DB7"/>
    <w:rsid w:val="00A37ECE"/>
    <w:rsid w:val="00A405B0"/>
    <w:rsid w:val="00A40605"/>
    <w:rsid w:val="00A406D9"/>
    <w:rsid w:val="00A4087B"/>
    <w:rsid w:val="00A40AE2"/>
    <w:rsid w:val="00A40D31"/>
    <w:rsid w:val="00A40D7C"/>
    <w:rsid w:val="00A40E36"/>
    <w:rsid w:val="00A40F15"/>
    <w:rsid w:val="00A41315"/>
    <w:rsid w:val="00A41478"/>
    <w:rsid w:val="00A41530"/>
    <w:rsid w:val="00A41D83"/>
    <w:rsid w:val="00A4221F"/>
    <w:rsid w:val="00A43098"/>
    <w:rsid w:val="00A43CA2"/>
    <w:rsid w:val="00A43E9C"/>
    <w:rsid w:val="00A44105"/>
    <w:rsid w:val="00A4417D"/>
    <w:rsid w:val="00A4422F"/>
    <w:rsid w:val="00A4428E"/>
    <w:rsid w:val="00A443B3"/>
    <w:rsid w:val="00A445E2"/>
    <w:rsid w:val="00A448C8"/>
    <w:rsid w:val="00A44969"/>
    <w:rsid w:val="00A44D44"/>
    <w:rsid w:val="00A44D62"/>
    <w:rsid w:val="00A44F47"/>
    <w:rsid w:val="00A450D3"/>
    <w:rsid w:val="00A4546C"/>
    <w:rsid w:val="00A456E9"/>
    <w:rsid w:val="00A45AE7"/>
    <w:rsid w:val="00A45EF4"/>
    <w:rsid w:val="00A4624D"/>
    <w:rsid w:val="00A46281"/>
    <w:rsid w:val="00A462FB"/>
    <w:rsid w:val="00A46388"/>
    <w:rsid w:val="00A467BF"/>
    <w:rsid w:val="00A46E40"/>
    <w:rsid w:val="00A471FE"/>
    <w:rsid w:val="00A47376"/>
    <w:rsid w:val="00A47781"/>
    <w:rsid w:val="00A47915"/>
    <w:rsid w:val="00A47BD8"/>
    <w:rsid w:val="00A47C0E"/>
    <w:rsid w:val="00A47FC9"/>
    <w:rsid w:val="00A51430"/>
    <w:rsid w:val="00A51951"/>
    <w:rsid w:val="00A51B77"/>
    <w:rsid w:val="00A5279B"/>
    <w:rsid w:val="00A53328"/>
    <w:rsid w:val="00A5337D"/>
    <w:rsid w:val="00A533C0"/>
    <w:rsid w:val="00A5373D"/>
    <w:rsid w:val="00A53DE4"/>
    <w:rsid w:val="00A548ED"/>
    <w:rsid w:val="00A54F38"/>
    <w:rsid w:val="00A55173"/>
    <w:rsid w:val="00A5592B"/>
    <w:rsid w:val="00A55A3E"/>
    <w:rsid w:val="00A55ACF"/>
    <w:rsid w:val="00A56311"/>
    <w:rsid w:val="00A565BE"/>
    <w:rsid w:val="00A56B36"/>
    <w:rsid w:val="00A56CC6"/>
    <w:rsid w:val="00A57292"/>
    <w:rsid w:val="00A574C5"/>
    <w:rsid w:val="00A57F0C"/>
    <w:rsid w:val="00A6009F"/>
    <w:rsid w:val="00A60801"/>
    <w:rsid w:val="00A60B07"/>
    <w:rsid w:val="00A616FE"/>
    <w:rsid w:val="00A61D27"/>
    <w:rsid w:val="00A62069"/>
    <w:rsid w:val="00A62238"/>
    <w:rsid w:val="00A628E1"/>
    <w:rsid w:val="00A62DED"/>
    <w:rsid w:val="00A62EB1"/>
    <w:rsid w:val="00A6308A"/>
    <w:rsid w:val="00A63319"/>
    <w:rsid w:val="00A634BF"/>
    <w:rsid w:val="00A63992"/>
    <w:rsid w:val="00A63C55"/>
    <w:rsid w:val="00A63D9F"/>
    <w:rsid w:val="00A63E57"/>
    <w:rsid w:val="00A6486F"/>
    <w:rsid w:val="00A64995"/>
    <w:rsid w:val="00A64A52"/>
    <w:rsid w:val="00A64D3D"/>
    <w:rsid w:val="00A6558A"/>
    <w:rsid w:val="00A655AD"/>
    <w:rsid w:val="00A6568D"/>
    <w:rsid w:val="00A6643F"/>
    <w:rsid w:val="00A66586"/>
    <w:rsid w:val="00A6694F"/>
    <w:rsid w:val="00A6696A"/>
    <w:rsid w:val="00A66DC0"/>
    <w:rsid w:val="00A6703F"/>
    <w:rsid w:val="00A67979"/>
    <w:rsid w:val="00A67B74"/>
    <w:rsid w:val="00A67D8B"/>
    <w:rsid w:val="00A67E43"/>
    <w:rsid w:val="00A700B7"/>
    <w:rsid w:val="00A70289"/>
    <w:rsid w:val="00A705E7"/>
    <w:rsid w:val="00A70619"/>
    <w:rsid w:val="00A70667"/>
    <w:rsid w:val="00A70B51"/>
    <w:rsid w:val="00A718D6"/>
    <w:rsid w:val="00A71E7E"/>
    <w:rsid w:val="00A721A0"/>
    <w:rsid w:val="00A72898"/>
    <w:rsid w:val="00A72A71"/>
    <w:rsid w:val="00A72B27"/>
    <w:rsid w:val="00A72BFE"/>
    <w:rsid w:val="00A72E9B"/>
    <w:rsid w:val="00A735E2"/>
    <w:rsid w:val="00A73935"/>
    <w:rsid w:val="00A742F4"/>
    <w:rsid w:val="00A7436B"/>
    <w:rsid w:val="00A7447A"/>
    <w:rsid w:val="00A74F2E"/>
    <w:rsid w:val="00A7529B"/>
    <w:rsid w:val="00A754A3"/>
    <w:rsid w:val="00A75A47"/>
    <w:rsid w:val="00A75E3C"/>
    <w:rsid w:val="00A75F13"/>
    <w:rsid w:val="00A76001"/>
    <w:rsid w:val="00A76393"/>
    <w:rsid w:val="00A76BD9"/>
    <w:rsid w:val="00A76CFF"/>
    <w:rsid w:val="00A77099"/>
    <w:rsid w:val="00A772AF"/>
    <w:rsid w:val="00A80148"/>
    <w:rsid w:val="00A80A34"/>
    <w:rsid w:val="00A812B0"/>
    <w:rsid w:val="00A814E3"/>
    <w:rsid w:val="00A816F1"/>
    <w:rsid w:val="00A82135"/>
    <w:rsid w:val="00A823A4"/>
    <w:rsid w:val="00A823BB"/>
    <w:rsid w:val="00A82C2C"/>
    <w:rsid w:val="00A83202"/>
    <w:rsid w:val="00A83329"/>
    <w:rsid w:val="00A83357"/>
    <w:rsid w:val="00A833EA"/>
    <w:rsid w:val="00A833F7"/>
    <w:rsid w:val="00A83BCB"/>
    <w:rsid w:val="00A84A24"/>
    <w:rsid w:val="00A8509C"/>
    <w:rsid w:val="00A85EE5"/>
    <w:rsid w:val="00A8623E"/>
    <w:rsid w:val="00A8649D"/>
    <w:rsid w:val="00A87A88"/>
    <w:rsid w:val="00A87E0A"/>
    <w:rsid w:val="00A901CE"/>
    <w:rsid w:val="00A90244"/>
    <w:rsid w:val="00A903E9"/>
    <w:rsid w:val="00A90B40"/>
    <w:rsid w:val="00A90CBB"/>
    <w:rsid w:val="00A90EB9"/>
    <w:rsid w:val="00A912AE"/>
    <w:rsid w:val="00A91D19"/>
    <w:rsid w:val="00A91ED6"/>
    <w:rsid w:val="00A9260C"/>
    <w:rsid w:val="00A92908"/>
    <w:rsid w:val="00A92DFD"/>
    <w:rsid w:val="00A93164"/>
    <w:rsid w:val="00A93214"/>
    <w:rsid w:val="00A93609"/>
    <w:rsid w:val="00A93815"/>
    <w:rsid w:val="00A9383A"/>
    <w:rsid w:val="00A93E37"/>
    <w:rsid w:val="00A9409E"/>
    <w:rsid w:val="00A94550"/>
    <w:rsid w:val="00A945F6"/>
    <w:rsid w:val="00A94603"/>
    <w:rsid w:val="00A94AA0"/>
    <w:rsid w:val="00A94DD0"/>
    <w:rsid w:val="00A94E8A"/>
    <w:rsid w:val="00A94FC1"/>
    <w:rsid w:val="00A95497"/>
    <w:rsid w:val="00A9566F"/>
    <w:rsid w:val="00A957DF"/>
    <w:rsid w:val="00A95E68"/>
    <w:rsid w:val="00A96560"/>
    <w:rsid w:val="00A965D8"/>
    <w:rsid w:val="00A96BEF"/>
    <w:rsid w:val="00A96C6B"/>
    <w:rsid w:val="00A96D09"/>
    <w:rsid w:val="00A97154"/>
    <w:rsid w:val="00A976E6"/>
    <w:rsid w:val="00A97D03"/>
    <w:rsid w:val="00A97FE5"/>
    <w:rsid w:val="00AA02A4"/>
    <w:rsid w:val="00AA044F"/>
    <w:rsid w:val="00AA0659"/>
    <w:rsid w:val="00AA06FD"/>
    <w:rsid w:val="00AA0D4E"/>
    <w:rsid w:val="00AA1134"/>
    <w:rsid w:val="00AA11AC"/>
    <w:rsid w:val="00AA12FE"/>
    <w:rsid w:val="00AA13AC"/>
    <w:rsid w:val="00AA170D"/>
    <w:rsid w:val="00AA17AB"/>
    <w:rsid w:val="00AA18DE"/>
    <w:rsid w:val="00AA193E"/>
    <w:rsid w:val="00AA19C7"/>
    <w:rsid w:val="00AA1DF8"/>
    <w:rsid w:val="00AA1FED"/>
    <w:rsid w:val="00AA2126"/>
    <w:rsid w:val="00AA2373"/>
    <w:rsid w:val="00AA27AF"/>
    <w:rsid w:val="00AA29AC"/>
    <w:rsid w:val="00AA29FC"/>
    <w:rsid w:val="00AA348C"/>
    <w:rsid w:val="00AA3A26"/>
    <w:rsid w:val="00AA4C2C"/>
    <w:rsid w:val="00AA4E89"/>
    <w:rsid w:val="00AA5139"/>
    <w:rsid w:val="00AA525E"/>
    <w:rsid w:val="00AA5817"/>
    <w:rsid w:val="00AA5A80"/>
    <w:rsid w:val="00AA5B42"/>
    <w:rsid w:val="00AA6765"/>
    <w:rsid w:val="00AA68E5"/>
    <w:rsid w:val="00AA6C2F"/>
    <w:rsid w:val="00AA6F2D"/>
    <w:rsid w:val="00AA7230"/>
    <w:rsid w:val="00AA7940"/>
    <w:rsid w:val="00AA7EE7"/>
    <w:rsid w:val="00AB0142"/>
    <w:rsid w:val="00AB01E8"/>
    <w:rsid w:val="00AB0783"/>
    <w:rsid w:val="00AB0ADC"/>
    <w:rsid w:val="00AB0EC1"/>
    <w:rsid w:val="00AB14EC"/>
    <w:rsid w:val="00AB17DE"/>
    <w:rsid w:val="00AB1A00"/>
    <w:rsid w:val="00AB1D47"/>
    <w:rsid w:val="00AB1D5B"/>
    <w:rsid w:val="00AB1F86"/>
    <w:rsid w:val="00AB26C2"/>
    <w:rsid w:val="00AB26FA"/>
    <w:rsid w:val="00AB38B2"/>
    <w:rsid w:val="00AB40C3"/>
    <w:rsid w:val="00AB45F9"/>
    <w:rsid w:val="00AB4BBF"/>
    <w:rsid w:val="00AB4EB3"/>
    <w:rsid w:val="00AB528F"/>
    <w:rsid w:val="00AB5805"/>
    <w:rsid w:val="00AB5829"/>
    <w:rsid w:val="00AB5834"/>
    <w:rsid w:val="00AB5AF7"/>
    <w:rsid w:val="00AB5D5B"/>
    <w:rsid w:val="00AB5FEA"/>
    <w:rsid w:val="00AB62B2"/>
    <w:rsid w:val="00AB63B1"/>
    <w:rsid w:val="00AB6C7B"/>
    <w:rsid w:val="00AB6DD2"/>
    <w:rsid w:val="00AB6EF1"/>
    <w:rsid w:val="00AB77EA"/>
    <w:rsid w:val="00AC046B"/>
    <w:rsid w:val="00AC0617"/>
    <w:rsid w:val="00AC0650"/>
    <w:rsid w:val="00AC08A1"/>
    <w:rsid w:val="00AC095F"/>
    <w:rsid w:val="00AC0C19"/>
    <w:rsid w:val="00AC14FD"/>
    <w:rsid w:val="00AC1C24"/>
    <w:rsid w:val="00AC1C51"/>
    <w:rsid w:val="00AC1F66"/>
    <w:rsid w:val="00AC2185"/>
    <w:rsid w:val="00AC23EA"/>
    <w:rsid w:val="00AC281C"/>
    <w:rsid w:val="00AC2841"/>
    <w:rsid w:val="00AC29F2"/>
    <w:rsid w:val="00AC30B0"/>
    <w:rsid w:val="00AC39E6"/>
    <w:rsid w:val="00AC3A5C"/>
    <w:rsid w:val="00AC3FCF"/>
    <w:rsid w:val="00AC45A6"/>
    <w:rsid w:val="00AC483D"/>
    <w:rsid w:val="00AC4FD9"/>
    <w:rsid w:val="00AC51DA"/>
    <w:rsid w:val="00AC6260"/>
    <w:rsid w:val="00AC630B"/>
    <w:rsid w:val="00AC63D6"/>
    <w:rsid w:val="00AC63ED"/>
    <w:rsid w:val="00AC69DB"/>
    <w:rsid w:val="00AC6EF0"/>
    <w:rsid w:val="00AC74AD"/>
    <w:rsid w:val="00AC7A6B"/>
    <w:rsid w:val="00AC7B7B"/>
    <w:rsid w:val="00AC7CC5"/>
    <w:rsid w:val="00AD0060"/>
    <w:rsid w:val="00AD032D"/>
    <w:rsid w:val="00AD04D4"/>
    <w:rsid w:val="00AD068D"/>
    <w:rsid w:val="00AD115D"/>
    <w:rsid w:val="00AD14A3"/>
    <w:rsid w:val="00AD1683"/>
    <w:rsid w:val="00AD252B"/>
    <w:rsid w:val="00AD2E4C"/>
    <w:rsid w:val="00AD2ECE"/>
    <w:rsid w:val="00AD34D8"/>
    <w:rsid w:val="00AD375E"/>
    <w:rsid w:val="00AD3778"/>
    <w:rsid w:val="00AD393C"/>
    <w:rsid w:val="00AD3C18"/>
    <w:rsid w:val="00AD3D97"/>
    <w:rsid w:val="00AD3EFF"/>
    <w:rsid w:val="00AD409A"/>
    <w:rsid w:val="00AD497A"/>
    <w:rsid w:val="00AD4C17"/>
    <w:rsid w:val="00AD51F9"/>
    <w:rsid w:val="00AD535C"/>
    <w:rsid w:val="00AD5942"/>
    <w:rsid w:val="00AD5A1B"/>
    <w:rsid w:val="00AD5AE7"/>
    <w:rsid w:val="00AD5B0D"/>
    <w:rsid w:val="00AD5BFD"/>
    <w:rsid w:val="00AD5D3F"/>
    <w:rsid w:val="00AD602F"/>
    <w:rsid w:val="00AD66AF"/>
    <w:rsid w:val="00AD6D2F"/>
    <w:rsid w:val="00AD72BD"/>
    <w:rsid w:val="00AD74F0"/>
    <w:rsid w:val="00AD77CF"/>
    <w:rsid w:val="00AD7C7F"/>
    <w:rsid w:val="00AE003A"/>
    <w:rsid w:val="00AE0274"/>
    <w:rsid w:val="00AE031C"/>
    <w:rsid w:val="00AE0627"/>
    <w:rsid w:val="00AE0B22"/>
    <w:rsid w:val="00AE0FD6"/>
    <w:rsid w:val="00AE130C"/>
    <w:rsid w:val="00AE1629"/>
    <w:rsid w:val="00AE1672"/>
    <w:rsid w:val="00AE1A4A"/>
    <w:rsid w:val="00AE1BD3"/>
    <w:rsid w:val="00AE1C54"/>
    <w:rsid w:val="00AE1FC1"/>
    <w:rsid w:val="00AE209F"/>
    <w:rsid w:val="00AE2169"/>
    <w:rsid w:val="00AE2793"/>
    <w:rsid w:val="00AE2B2D"/>
    <w:rsid w:val="00AE2B79"/>
    <w:rsid w:val="00AE2EE3"/>
    <w:rsid w:val="00AE322E"/>
    <w:rsid w:val="00AE34EB"/>
    <w:rsid w:val="00AE3525"/>
    <w:rsid w:val="00AE37ED"/>
    <w:rsid w:val="00AE38B4"/>
    <w:rsid w:val="00AE3968"/>
    <w:rsid w:val="00AE4068"/>
    <w:rsid w:val="00AE4115"/>
    <w:rsid w:val="00AE41ED"/>
    <w:rsid w:val="00AE470F"/>
    <w:rsid w:val="00AE4CBA"/>
    <w:rsid w:val="00AE558E"/>
    <w:rsid w:val="00AE55FA"/>
    <w:rsid w:val="00AE57AE"/>
    <w:rsid w:val="00AE593E"/>
    <w:rsid w:val="00AE5A04"/>
    <w:rsid w:val="00AE5BC0"/>
    <w:rsid w:val="00AE5F90"/>
    <w:rsid w:val="00AE6209"/>
    <w:rsid w:val="00AE6AB0"/>
    <w:rsid w:val="00AE6F91"/>
    <w:rsid w:val="00AE70DE"/>
    <w:rsid w:val="00AE799D"/>
    <w:rsid w:val="00AF0490"/>
    <w:rsid w:val="00AF04C4"/>
    <w:rsid w:val="00AF0D86"/>
    <w:rsid w:val="00AF1941"/>
    <w:rsid w:val="00AF2575"/>
    <w:rsid w:val="00AF28AD"/>
    <w:rsid w:val="00AF2AFA"/>
    <w:rsid w:val="00AF2BE5"/>
    <w:rsid w:val="00AF2DDF"/>
    <w:rsid w:val="00AF31AA"/>
    <w:rsid w:val="00AF3445"/>
    <w:rsid w:val="00AF3671"/>
    <w:rsid w:val="00AF3AD0"/>
    <w:rsid w:val="00AF3ED9"/>
    <w:rsid w:val="00AF3FC0"/>
    <w:rsid w:val="00AF411D"/>
    <w:rsid w:val="00AF475A"/>
    <w:rsid w:val="00AF492E"/>
    <w:rsid w:val="00AF4A5B"/>
    <w:rsid w:val="00AF4AD6"/>
    <w:rsid w:val="00AF4D8B"/>
    <w:rsid w:val="00AF4F3B"/>
    <w:rsid w:val="00AF5323"/>
    <w:rsid w:val="00AF57BA"/>
    <w:rsid w:val="00AF58D9"/>
    <w:rsid w:val="00AF5967"/>
    <w:rsid w:val="00AF5A7B"/>
    <w:rsid w:val="00AF5DA4"/>
    <w:rsid w:val="00AF5E9A"/>
    <w:rsid w:val="00AF685C"/>
    <w:rsid w:val="00AF6A90"/>
    <w:rsid w:val="00AF6BFD"/>
    <w:rsid w:val="00AF6E00"/>
    <w:rsid w:val="00AF7069"/>
    <w:rsid w:val="00AF7568"/>
    <w:rsid w:val="00AF76CD"/>
    <w:rsid w:val="00AF7927"/>
    <w:rsid w:val="00AF7C29"/>
    <w:rsid w:val="00B0089A"/>
    <w:rsid w:val="00B01F0A"/>
    <w:rsid w:val="00B02761"/>
    <w:rsid w:val="00B0337B"/>
    <w:rsid w:val="00B0375F"/>
    <w:rsid w:val="00B03977"/>
    <w:rsid w:val="00B04290"/>
    <w:rsid w:val="00B0458F"/>
    <w:rsid w:val="00B0476D"/>
    <w:rsid w:val="00B04C1C"/>
    <w:rsid w:val="00B04E99"/>
    <w:rsid w:val="00B063DB"/>
    <w:rsid w:val="00B064F2"/>
    <w:rsid w:val="00B07913"/>
    <w:rsid w:val="00B07F01"/>
    <w:rsid w:val="00B1031E"/>
    <w:rsid w:val="00B11227"/>
    <w:rsid w:val="00B115EE"/>
    <w:rsid w:val="00B11E15"/>
    <w:rsid w:val="00B122C0"/>
    <w:rsid w:val="00B128AD"/>
    <w:rsid w:val="00B128C7"/>
    <w:rsid w:val="00B12BB1"/>
    <w:rsid w:val="00B139B9"/>
    <w:rsid w:val="00B13CFF"/>
    <w:rsid w:val="00B1403C"/>
    <w:rsid w:val="00B1430F"/>
    <w:rsid w:val="00B146C0"/>
    <w:rsid w:val="00B148B4"/>
    <w:rsid w:val="00B14B2F"/>
    <w:rsid w:val="00B14BDD"/>
    <w:rsid w:val="00B14C5D"/>
    <w:rsid w:val="00B14F2C"/>
    <w:rsid w:val="00B1505B"/>
    <w:rsid w:val="00B155C3"/>
    <w:rsid w:val="00B15E8D"/>
    <w:rsid w:val="00B15F90"/>
    <w:rsid w:val="00B16510"/>
    <w:rsid w:val="00B16545"/>
    <w:rsid w:val="00B1662F"/>
    <w:rsid w:val="00B16A1C"/>
    <w:rsid w:val="00B16A61"/>
    <w:rsid w:val="00B16E7D"/>
    <w:rsid w:val="00B17122"/>
    <w:rsid w:val="00B17146"/>
    <w:rsid w:val="00B1738D"/>
    <w:rsid w:val="00B1743E"/>
    <w:rsid w:val="00B1750E"/>
    <w:rsid w:val="00B175D9"/>
    <w:rsid w:val="00B17656"/>
    <w:rsid w:val="00B17EAD"/>
    <w:rsid w:val="00B2061B"/>
    <w:rsid w:val="00B20681"/>
    <w:rsid w:val="00B20D5B"/>
    <w:rsid w:val="00B210AC"/>
    <w:rsid w:val="00B21929"/>
    <w:rsid w:val="00B21AC6"/>
    <w:rsid w:val="00B21D4A"/>
    <w:rsid w:val="00B22262"/>
    <w:rsid w:val="00B22620"/>
    <w:rsid w:val="00B22627"/>
    <w:rsid w:val="00B2289C"/>
    <w:rsid w:val="00B228E0"/>
    <w:rsid w:val="00B23014"/>
    <w:rsid w:val="00B232CD"/>
    <w:rsid w:val="00B242AB"/>
    <w:rsid w:val="00B24D0E"/>
    <w:rsid w:val="00B2544A"/>
    <w:rsid w:val="00B25615"/>
    <w:rsid w:val="00B262FE"/>
    <w:rsid w:val="00B26858"/>
    <w:rsid w:val="00B268BE"/>
    <w:rsid w:val="00B26D5E"/>
    <w:rsid w:val="00B2723A"/>
    <w:rsid w:val="00B272B3"/>
    <w:rsid w:val="00B27B3D"/>
    <w:rsid w:val="00B27D96"/>
    <w:rsid w:val="00B30192"/>
    <w:rsid w:val="00B30B01"/>
    <w:rsid w:val="00B30EC2"/>
    <w:rsid w:val="00B314F7"/>
    <w:rsid w:val="00B31899"/>
    <w:rsid w:val="00B319A3"/>
    <w:rsid w:val="00B32260"/>
    <w:rsid w:val="00B324CD"/>
    <w:rsid w:val="00B32852"/>
    <w:rsid w:val="00B333FD"/>
    <w:rsid w:val="00B33DFE"/>
    <w:rsid w:val="00B33FD7"/>
    <w:rsid w:val="00B3450F"/>
    <w:rsid w:val="00B34974"/>
    <w:rsid w:val="00B34B14"/>
    <w:rsid w:val="00B35584"/>
    <w:rsid w:val="00B35915"/>
    <w:rsid w:val="00B35B39"/>
    <w:rsid w:val="00B36452"/>
    <w:rsid w:val="00B36BA3"/>
    <w:rsid w:val="00B36C5A"/>
    <w:rsid w:val="00B36F94"/>
    <w:rsid w:val="00B37091"/>
    <w:rsid w:val="00B37489"/>
    <w:rsid w:val="00B376B9"/>
    <w:rsid w:val="00B37A0D"/>
    <w:rsid w:val="00B37E6D"/>
    <w:rsid w:val="00B37E96"/>
    <w:rsid w:val="00B4043D"/>
    <w:rsid w:val="00B404EF"/>
    <w:rsid w:val="00B4089D"/>
    <w:rsid w:val="00B40C4E"/>
    <w:rsid w:val="00B40F67"/>
    <w:rsid w:val="00B422F3"/>
    <w:rsid w:val="00B423EC"/>
    <w:rsid w:val="00B42910"/>
    <w:rsid w:val="00B42BBE"/>
    <w:rsid w:val="00B4319E"/>
    <w:rsid w:val="00B433C5"/>
    <w:rsid w:val="00B433E0"/>
    <w:rsid w:val="00B434C3"/>
    <w:rsid w:val="00B437F3"/>
    <w:rsid w:val="00B439A2"/>
    <w:rsid w:val="00B43CA2"/>
    <w:rsid w:val="00B43CD1"/>
    <w:rsid w:val="00B4455E"/>
    <w:rsid w:val="00B45835"/>
    <w:rsid w:val="00B458F9"/>
    <w:rsid w:val="00B45AD1"/>
    <w:rsid w:val="00B4611D"/>
    <w:rsid w:val="00B468AA"/>
    <w:rsid w:val="00B46FD6"/>
    <w:rsid w:val="00B4733C"/>
    <w:rsid w:val="00B47387"/>
    <w:rsid w:val="00B475B7"/>
    <w:rsid w:val="00B47B6C"/>
    <w:rsid w:val="00B47EF4"/>
    <w:rsid w:val="00B5076E"/>
    <w:rsid w:val="00B508E7"/>
    <w:rsid w:val="00B509FD"/>
    <w:rsid w:val="00B50D95"/>
    <w:rsid w:val="00B5143A"/>
    <w:rsid w:val="00B51DE4"/>
    <w:rsid w:val="00B51F68"/>
    <w:rsid w:val="00B52E12"/>
    <w:rsid w:val="00B53263"/>
    <w:rsid w:val="00B53438"/>
    <w:rsid w:val="00B53A14"/>
    <w:rsid w:val="00B53A24"/>
    <w:rsid w:val="00B541B6"/>
    <w:rsid w:val="00B543DB"/>
    <w:rsid w:val="00B54D2F"/>
    <w:rsid w:val="00B5512E"/>
    <w:rsid w:val="00B55149"/>
    <w:rsid w:val="00B55588"/>
    <w:rsid w:val="00B5566B"/>
    <w:rsid w:val="00B5581A"/>
    <w:rsid w:val="00B558C4"/>
    <w:rsid w:val="00B56DB3"/>
    <w:rsid w:val="00B5738C"/>
    <w:rsid w:val="00B57DFA"/>
    <w:rsid w:val="00B60475"/>
    <w:rsid w:val="00B60A03"/>
    <w:rsid w:val="00B60B10"/>
    <w:rsid w:val="00B61010"/>
    <w:rsid w:val="00B61166"/>
    <w:rsid w:val="00B612A1"/>
    <w:rsid w:val="00B6182B"/>
    <w:rsid w:val="00B61BC4"/>
    <w:rsid w:val="00B61FF7"/>
    <w:rsid w:val="00B62819"/>
    <w:rsid w:val="00B62FDC"/>
    <w:rsid w:val="00B63124"/>
    <w:rsid w:val="00B6328B"/>
    <w:rsid w:val="00B6422B"/>
    <w:rsid w:val="00B6435B"/>
    <w:rsid w:val="00B6463D"/>
    <w:rsid w:val="00B646A6"/>
    <w:rsid w:val="00B64AFE"/>
    <w:rsid w:val="00B64C60"/>
    <w:rsid w:val="00B65478"/>
    <w:rsid w:val="00B654BC"/>
    <w:rsid w:val="00B65987"/>
    <w:rsid w:val="00B65F7C"/>
    <w:rsid w:val="00B6633C"/>
    <w:rsid w:val="00B668DE"/>
    <w:rsid w:val="00B66E26"/>
    <w:rsid w:val="00B675FD"/>
    <w:rsid w:val="00B67C13"/>
    <w:rsid w:val="00B67CF3"/>
    <w:rsid w:val="00B67EA8"/>
    <w:rsid w:val="00B706DA"/>
    <w:rsid w:val="00B71026"/>
    <w:rsid w:val="00B71494"/>
    <w:rsid w:val="00B714F0"/>
    <w:rsid w:val="00B71749"/>
    <w:rsid w:val="00B7191A"/>
    <w:rsid w:val="00B71CFF"/>
    <w:rsid w:val="00B724CC"/>
    <w:rsid w:val="00B725B7"/>
    <w:rsid w:val="00B72839"/>
    <w:rsid w:val="00B729DF"/>
    <w:rsid w:val="00B72A50"/>
    <w:rsid w:val="00B72B56"/>
    <w:rsid w:val="00B72FA1"/>
    <w:rsid w:val="00B7300A"/>
    <w:rsid w:val="00B73361"/>
    <w:rsid w:val="00B73396"/>
    <w:rsid w:val="00B73515"/>
    <w:rsid w:val="00B73A3F"/>
    <w:rsid w:val="00B73D3B"/>
    <w:rsid w:val="00B7427B"/>
    <w:rsid w:val="00B742CB"/>
    <w:rsid w:val="00B745FD"/>
    <w:rsid w:val="00B74D7D"/>
    <w:rsid w:val="00B74FF0"/>
    <w:rsid w:val="00B75361"/>
    <w:rsid w:val="00B75F4D"/>
    <w:rsid w:val="00B7612F"/>
    <w:rsid w:val="00B76323"/>
    <w:rsid w:val="00B766C0"/>
    <w:rsid w:val="00B7699B"/>
    <w:rsid w:val="00B76BF8"/>
    <w:rsid w:val="00B76DC1"/>
    <w:rsid w:val="00B773E3"/>
    <w:rsid w:val="00B7757F"/>
    <w:rsid w:val="00B776CA"/>
    <w:rsid w:val="00B77776"/>
    <w:rsid w:val="00B779BE"/>
    <w:rsid w:val="00B804C4"/>
    <w:rsid w:val="00B81378"/>
    <w:rsid w:val="00B819BC"/>
    <w:rsid w:val="00B81BCD"/>
    <w:rsid w:val="00B81CC9"/>
    <w:rsid w:val="00B822D6"/>
    <w:rsid w:val="00B8246D"/>
    <w:rsid w:val="00B8284C"/>
    <w:rsid w:val="00B82862"/>
    <w:rsid w:val="00B82BAC"/>
    <w:rsid w:val="00B830CD"/>
    <w:rsid w:val="00B836E7"/>
    <w:rsid w:val="00B83BF6"/>
    <w:rsid w:val="00B83D10"/>
    <w:rsid w:val="00B83FE7"/>
    <w:rsid w:val="00B84221"/>
    <w:rsid w:val="00B84636"/>
    <w:rsid w:val="00B85C56"/>
    <w:rsid w:val="00B86181"/>
    <w:rsid w:val="00B86630"/>
    <w:rsid w:val="00B8671C"/>
    <w:rsid w:val="00B86B9E"/>
    <w:rsid w:val="00B86E94"/>
    <w:rsid w:val="00B87CBD"/>
    <w:rsid w:val="00B9026F"/>
    <w:rsid w:val="00B90358"/>
    <w:rsid w:val="00B90F0A"/>
    <w:rsid w:val="00B9125D"/>
    <w:rsid w:val="00B91338"/>
    <w:rsid w:val="00B91611"/>
    <w:rsid w:val="00B919A5"/>
    <w:rsid w:val="00B919D5"/>
    <w:rsid w:val="00B91CB9"/>
    <w:rsid w:val="00B922F6"/>
    <w:rsid w:val="00B928C8"/>
    <w:rsid w:val="00B92EB5"/>
    <w:rsid w:val="00B9357E"/>
    <w:rsid w:val="00B937F6"/>
    <w:rsid w:val="00B93856"/>
    <w:rsid w:val="00B93CBD"/>
    <w:rsid w:val="00B943B6"/>
    <w:rsid w:val="00B945EA"/>
    <w:rsid w:val="00B94AC3"/>
    <w:rsid w:val="00B94B06"/>
    <w:rsid w:val="00B950CF"/>
    <w:rsid w:val="00B95A45"/>
    <w:rsid w:val="00B95AB0"/>
    <w:rsid w:val="00B95C71"/>
    <w:rsid w:val="00B966E8"/>
    <w:rsid w:val="00B9677C"/>
    <w:rsid w:val="00B9680A"/>
    <w:rsid w:val="00B96D17"/>
    <w:rsid w:val="00B96D8A"/>
    <w:rsid w:val="00B96E2F"/>
    <w:rsid w:val="00B97225"/>
    <w:rsid w:val="00BA0CFA"/>
    <w:rsid w:val="00BA172F"/>
    <w:rsid w:val="00BA18A5"/>
    <w:rsid w:val="00BA1A3F"/>
    <w:rsid w:val="00BA1BCF"/>
    <w:rsid w:val="00BA1EAC"/>
    <w:rsid w:val="00BA2F65"/>
    <w:rsid w:val="00BA3518"/>
    <w:rsid w:val="00BA3588"/>
    <w:rsid w:val="00BA365E"/>
    <w:rsid w:val="00BA3C18"/>
    <w:rsid w:val="00BA3E01"/>
    <w:rsid w:val="00BA4169"/>
    <w:rsid w:val="00BA4590"/>
    <w:rsid w:val="00BA472C"/>
    <w:rsid w:val="00BA495D"/>
    <w:rsid w:val="00BA4C42"/>
    <w:rsid w:val="00BA4EF5"/>
    <w:rsid w:val="00BA5007"/>
    <w:rsid w:val="00BA5592"/>
    <w:rsid w:val="00BA63A5"/>
    <w:rsid w:val="00BA6457"/>
    <w:rsid w:val="00BA661C"/>
    <w:rsid w:val="00BA6BDD"/>
    <w:rsid w:val="00BA6CC2"/>
    <w:rsid w:val="00BA715A"/>
    <w:rsid w:val="00BA7B1E"/>
    <w:rsid w:val="00BA7CB0"/>
    <w:rsid w:val="00BB016F"/>
    <w:rsid w:val="00BB0173"/>
    <w:rsid w:val="00BB0521"/>
    <w:rsid w:val="00BB0661"/>
    <w:rsid w:val="00BB0884"/>
    <w:rsid w:val="00BB0BE3"/>
    <w:rsid w:val="00BB0EB0"/>
    <w:rsid w:val="00BB100A"/>
    <w:rsid w:val="00BB1299"/>
    <w:rsid w:val="00BB1342"/>
    <w:rsid w:val="00BB1487"/>
    <w:rsid w:val="00BB2958"/>
    <w:rsid w:val="00BB2B50"/>
    <w:rsid w:val="00BB3263"/>
    <w:rsid w:val="00BB3612"/>
    <w:rsid w:val="00BB3ECC"/>
    <w:rsid w:val="00BB40E3"/>
    <w:rsid w:val="00BB43AA"/>
    <w:rsid w:val="00BB43B5"/>
    <w:rsid w:val="00BB49FE"/>
    <w:rsid w:val="00BB4EE9"/>
    <w:rsid w:val="00BB52ED"/>
    <w:rsid w:val="00BB5485"/>
    <w:rsid w:val="00BB587B"/>
    <w:rsid w:val="00BB5CAB"/>
    <w:rsid w:val="00BB5E71"/>
    <w:rsid w:val="00BB62C8"/>
    <w:rsid w:val="00BB657B"/>
    <w:rsid w:val="00BB6C44"/>
    <w:rsid w:val="00BB6F69"/>
    <w:rsid w:val="00BB76A3"/>
    <w:rsid w:val="00BB7C51"/>
    <w:rsid w:val="00BC0579"/>
    <w:rsid w:val="00BC0BE5"/>
    <w:rsid w:val="00BC1BE7"/>
    <w:rsid w:val="00BC214C"/>
    <w:rsid w:val="00BC217F"/>
    <w:rsid w:val="00BC2511"/>
    <w:rsid w:val="00BC26F4"/>
    <w:rsid w:val="00BC2A74"/>
    <w:rsid w:val="00BC2AF4"/>
    <w:rsid w:val="00BC2AF5"/>
    <w:rsid w:val="00BC3293"/>
    <w:rsid w:val="00BC3672"/>
    <w:rsid w:val="00BC3695"/>
    <w:rsid w:val="00BC3A6E"/>
    <w:rsid w:val="00BC3AFC"/>
    <w:rsid w:val="00BC3B4E"/>
    <w:rsid w:val="00BC3B7E"/>
    <w:rsid w:val="00BC3E4F"/>
    <w:rsid w:val="00BC3FBE"/>
    <w:rsid w:val="00BC46DA"/>
    <w:rsid w:val="00BC553C"/>
    <w:rsid w:val="00BC6973"/>
    <w:rsid w:val="00BC6992"/>
    <w:rsid w:val="00BC6CED"/>
    <w:rsid w:val="00BC6EA0"/>
    <w:rsid w:val="00BC717A"/>
    <w:rsid w:val="00BC731A"/>
    <w:rsid w:val="00BC755E"/>
    <w:rsid w:val="00BC7746"/>
    <w:rsid w:val="00BD0800"/>
    <w:rsid w:val="00BD08E5"/>
    <w:rsid w:val="00BD0C08"/>
    <w:rsid w:val="00BD13C9"/>
    <w:rsid w:val="00BD16EB"/>
    <w:rsid w:val="00BD1E49"/>
    <w:rsid w:val="00BD22FB"/>
    <w:rsid w:val="00BD2E73"/>
    <w:rsid w:val="00BD306A"/>
    <w:rsid w:val="00BD307E"/>
    <w:rsid w:val="00BD3443"/>
    <w:rsid w:val="00BD3C07"/>
    <w:rsid w:val="00BD3C47"/>
    <w:rsid w:val="00BD3F51"/>
    <w:rsid w:val="00BD4154"/>
    <w:rsid w:val="00BD4350"/>
    <w:rsid w:val="00BD4697"/>
    <w:rsid w:val="00BD4A6D"/>
    <w:rsid w:val="00BD4BD8"/>
    <w:rsid w:val="00BD5406"/>
    <w:rsid w:val="00BD5767"/>
    <w:rsid w:val="00BD599A"/>
    <w:rsid w:val="00BD64CA"/>
    <w:rsid w:val="00BD665C"/>
    <w:rsid w:val="00BD67E8"/>
    <w:rsid w:val="00BD681D"/>
    <w:rsid w:val="00BD6B18"/>
    <w:rsid w:val="00BD6EA7"/>
    <w:rsid w:val="00BD6F04"/>
    <w:rsid w:val="00BD7086"/>
    <w:rsid w:val="00BD70E9"/>
    <w:rsid w:val="00BD73A8"/>
    <w:rsid w:val="00BD75AD"/>
    <w:rsid w:val="00BD75EE"/>
    <w:rsid w:val="00BE0840"/>
    <w:rsid w:val="00BE2038"/>
    <w:rsid w:val="00BE239B"/>
    <w:rsid w:val="00BE2CF5"/>
    <w:rsid w:val="00BE3038"/>
    <w:rsid w:val="00BE3065"/>
    <w:rsid w:val="00BE348D"/>
    <w:rsid w:val="00BE3510"/>
    <w:rsid w:val="00BE37B8"/>
    <w:rsid w:val="00BE4422"/>
    <w:rsid w:val="00BE47C7"/>
    <w:rsid w:val="00BE48DB"/>
    <w:rsid w:val="00BE4BD7"/>
    <w:rsid w:val="00BE4D0F"/>
    <w:rsid w:val="00BE5067"/>
    <w:rsid w:val="00BE6040"/>
    <w:rsid w:val="00BE6149"/>
    <w:rsid w:val="00BE693A"/>
    <w:rsid w:val="00BE6F78"/>
    <w:rsid w:val="00BE6F9E"/>
    <w:rsid w:val="00BE76C0"/>
    <w:rsid w:val="00BE7A87"/>
    <w:rsid w:val="00BE7F76"/>
    <w:rsid w:val="00BF0136"/>
    <w:rsid w:val="00BF04A6"/>
    <w:rsid w:val="00BF07D2"/>
    <w:rsid w:val="00BF0859"/>
    <w:rsid w:val="00BF0AF7"/>
    <w:rsid w:val="00BF11EC"/>
    <w:rsid w:val="00BF1837"/>
    <w:rsid w:val="00BF1875"/>
    <w:rsid w:val="00BF1EF3"/>
    <w:rsid w:val="00BF1F56"/>
    <w:rsid w:val="00BF1F6D"/>
    <w:rsid w:val="00BF1FB2"/>
    <w:rsid w:val="00BF2654"/>
    <w:rsid w:val="00BF2CE8"/>
    <w:rsid w:val="00BF2E98"/>
    <w:rsid w:val="00BF317C"/>
    <w:rsid w:val="00BF3402"/>
    <w:rsid w:val="00BF38E6"/>
    <w:rsid w:val="00BF3D61"/>
    <w:rsid w:val="00BF3FDA"/>
    <w:rsid w:val="00BF441F"/>
    <w:rsid w:val="00BF4487"/>
    <w:rsid w:val="00BF45DC"/>
    <w:rsid w:val="00BF50DF"/>
    <w:rsid w:val="00BF5291"/>
    <w:rsid w:val="00BF52E8"/>
    <w:rsid w:val="00BF568A"/>
    <w:rsid w:val="00BF5759"/>
    <w:rsid w:val="00BF5B44"/>
    <w:rsid w:val="00BF5CCF"/>
    <w:rsid w:val="00BF69D5"/>
    <w:rsid w:val="00BF6CA5"/>
    <w:rsid w:val="00BF6D29"/>
    <w:rsid w:val="00BF713F"/>
    <w:rsid w:val="00BF784B"/>
    <w:rsid w:val="00BF7D27"/>
    <w:rsid w:val="00C005FF"/>
    <w:rsid w:val="00C00864"/>
    <w:rsid w:val="00C00DD6"/>
    <w:rsid w:val="00C019B1"/>
    <w:rsid w:val="00C01B09"/>
    <w:rsid w:val="00C01EC3"/>
    <w:rsid w:val="00C02A25"/>
    <w:rsid w:val="00C0337F"/>
    <w:rsid w:val="00C03494"/>
    <w:rsid w:val="00C034FD"/>
    <w:rsid w:val="00C035E1"/>
    <w:rsid w:val="00C03AAE"/>
    <w:rsid w:val="00C04124"/>
    <w:rsid w:val="00C041E1"/>
    <w:rsid w:val="00C0474C"/>
    <w:rsid w:val="00C04DB0"/>
    <w:rsid w:val="00C04EAC"/>
    <w:rsid w:val="00C04FB7"/>
    <w:rsid w:val="00C052F7"/>
    <w:rsid w:val="00C0559C"/>
    <w:rsid w:val="00C05719"/>
    <w:rsid w:val="00C05BB3"/>
    <w:rsid w:val="00C05F91"/>
    <w:rsid w:val="00C0600E"/>
    <w:rsid w:val="00C064BD"/>
    <w:rsid w:val="00C06674"/>
    <w:rsid w:val="00C06925"/>
    <w:rsid w:val="00C06BBA"/>
    <w:rsid w:val="00C06F0F"/>
    <w:rsid w:val="00C0703A"/>
    <w:rsid w:val="00C101EC"/>
    <w:rsid w:val="00C106B5"/>
    <w:rsid w:val="00C109FD"/>
    <w:rsid w:val="00C110DC"/>
    <w:rsid w:val="00C11CC2"/>
    <w:rsid w:val="00C11E5C"/>
    <w:rsid w:val="00C11E79"/>
    <w:rsid w:val="00C11FE1"/>
    <w:rsid w:val="00C125A4"/>
    <w:rsid w:val="00C127EA"/>
    <w:rsid w:val="00C12983"/>
    <w:rsid w:val="00C12BBE"/>
    <w:rsid w:val="00C130FC"/>
    <w:rsid w:val="00C1326E"/>
    <w:rsid w:val="00C13403"/>
    <w:rsid w:val="00C1479C"/>
    <w:rsid w:val="00C1481E"/>
    <w:rsid w:val="00C14FE1"/>
    <w:rsid w:val="00C15101"/>
    <w:rsid w:val="00C154D3"/>
    <w:rsid w:val="00C15752"/>
    <w:rsid w:val="00C15AE6"/>
    <w:rsid w:val="00C15FF4"/>
    <w:rsid w:val="00C167E0"/>
    <w:rsid w:val="00C16831"/>
    <w:rsid w:val="00C16A08"/>
    <w:rsid w:val="00C16A7E"/>
    <w:rsid w:val="00C16AD2"/>
    <w:rsid w:val="00C17019"/>
    <w:rsid w:val="00C173CC"/>
    <w:rsid w:val="00C174E7"/>
    <w:rsid w:val="00C17851"/>
    <w:rsid w:val="00C1785E"/>
    <w:rsid w:val="00C17B44"/>
    <w:rsid w:val="00C17B92"/>
    <w:rsid w:val="00C17EA6"/>
    <w:rsid w:val="00C20330"/>
    <w:rsid w:val="00C204B3"/>
    <w:rsid w:val="00C206BE"/>
    <w:rsid w:val="00C2080C"/>
    <w:rsid w:val="00C20845"/>
    <w:rsid w:val="00C20993"/>
    <w:rsid w:val="00C209D7"/>
    <w:rsid w:val="00C20AAC"/>
    <w:rsid w:val="00C21110"/>
    <w:rsid w:val="00C2140A"/>
    <w:rsid w:val="00C2191E"/>
    <w:rsid w:val="00C21A78"/>
    <w:rsid w:val="00C21BCC"/>
    <w:rsid w:val="00C22F68"/>
    <w:rsid w:val="00C2366C"/>
    <w:rsid w:val="00C24430"/>
    <w:rsid w:val="00C244F8"/>
    <w:rsid w:val="00C245C2"/>
    <w:rsid w:val="00C24B95"/>
    <w:rsid w:val="00C24E91"/>
    <w:rsid w:val="00C24EEC"/>
    <w:rsid w:val="00C24F28"/>
    <w:rsid w:val="00C257E1"/>
    <w:rsid w:val="00C26395"/>
    <w:rsid w:val="00C27240"/>
    <w:rsid w:val="00C27284"/>
    <w:rsid w:val="00C27A4D"/>
    <w:rsid w:val="00C27BEE"/>
    <w:rsid w:val="00C27E21"/>
    <w:rsid w:val="00C27E3F"/>
    <w:rsid w:val="00C300EA"/>
    <w:rsid w:val="00C303DB"/>
    <w:rsid w:val="00C30445"/>
    <w:rsid w:val="00C309AA"/>
    <w:rsid w:val="00C30BCB"/>
    <w:rsid w:val="00C30D52"/>
    <w:rsid w:val="00C3106E"/>
    <w:rsid w:val="00C31318"/>
    <w:rsid w:val="00C3218C"/>
    <w:rsid w:val="00C322DF"/>
    <w:rsid w:val="00C32C39"/>
    <w:rsid w:val="00C33AF7"/>
    <w:rsid w:val="00C33BDD"/>
    <w:rsid w:val="00C33F95"/>
    <w:rsid w:val="00C34068"/>
    <w:rsid w:val="00C3442E"/>
    <w:rsid w:val="00C34560"/>
    <w:rsid w:val="00C34785"/>
    <w:rsid w:val="00C35712"/>
    <w:rsid w:val="00C3681E"/>
    <w:rsid w:val="00C36ACA"/>
    <w:rsid w:val="00C36B0E"/>
    <w:rsid w:val="00C36E99"/>
    <w:rsid w:val="00C37149"/>
    <w:rsid w:val="00C376AB"/>
    <w:rsid w:val="00C37863"/>
    <w:rsid w:val="00C3793D"/>
    <w:rsid w:val="00C37D53"/>
    <w:rsid w:val="00C37E9B"/>
    <w:rsid w:val="00C37F72"/>
    <w:rsid w:val="00C4012D"/>
    <w:rsid w:val="00C40140"/>
    <w:rsid w:val="00C4070F"/>
    <w:rsid w:val="00C409A8"/>
    <w:rsid w:val="00C40AEE"/>
    <w:rsid w:val="00C40C72"/>
    <w:rsid w:val="00C40CD5"/>
    <w:rsid w:val="00C41C88"/>
    <w:rsid w:val="00C41D5B"/>
    <w:rsid w:val="00C41EF8"/>
    <w:rsid w:val="00C42456"/>
    <w:rsid w:val="00C42E66"/>
    <w:rsid w:val="00C43407"/>
    <w:rsid w:val="00C43562"/>
    <w:rsid w:val="00C43A59"/>
    <w:rsid w:val="00C43B5C"/>
    <w:rsid w:val="00C448D7"/>
    <w:rsid w:val="00C44C41"/>
    <w:rsid w:val="00C45102"/>
    <w:rsid w:val="00C45376"/>
    <w:rsid w:val="00C4537C"/>
    <w:rsid w:val="00C4570B"/>
    <w:rsid w:val="00C457A4"/>
    <w:rsid w:val="00C458F7"/>
    <w:rsid w:val="00C45943"/>
    <w:rsid w:val="00C461B3"/>
    <w:rsid w:val="00C46452"/>
    <w:rsid w:val="00C46B0E"/>
    <w:rsid w:val="00C46C86"/>
    <w:rsid w:val="00C475AB"/>
    <w:rsid w:val="00C47B7E"/>
    <w:rsid w:val="00C47FB5"/>
    <w:rsid w:val="00C50970"/>
    <w:rsid w:val="00C5099D"/>
    <w:rsid w:val="00C50F13"/>
    <w:rsid w:val="00C50F80"/>
    <w:rsid w:val="00C511E2"/>
    <w:rsid w:val="00C51D2D"/>
    <w:rsid w:val="00C51E0D"/>
    <w:rsid w:val="00C52022"/>
    <w:rsid w:val="00C52261"/>
    <w:rsid w:val="00C5245E"/>
    <w:rsid w:val="00C52699"/>
    <w:rsid w:val="00C529FF"/>
    <w:rsid w:val="00C53072"/>
    <w:rsid w:val="00C5333A"/>
    <w:rsid w:val="00C53C29"/>
    <w:rsid w:val="00C53DDA"/>
    <w:rsid w:val="00C54106"/>
    <w:rsid w:val="00C54292"/>
    <w:rsid w:val="00C543AC"/>
    <w:rsid w:val="00C55072"/>
    <w:rsid w:val="00C5525E"/>
    <w:rsid w:val="00C553A5"/>
    <w:rsid w:val="00C553B7"/>
    <w:rsid w:val="00C55853"/>
    <w:rsid w:val="00C55C40"/>
    <w:rsid w:val="00C55CA1"/>
    <w:rsid w:val="00C55F19"/>
    <w:rsid w:val="00C56060"/>
    <w:rsid w:val="00C56ED8"/>
    <w:rsid w:val="00C572DF"/>
    <w:rsid w:val="00C5732E"/>
    <w:rsid w:val="00C5773A"/>
    <w:rsid w:val="00C57EF3"/>
    <w:rsid w:val="00C608C3"/>
    <w:rsid w:val="00C60BF2"/>
    <w:rsid w:val="00C61584"/>
    <w:rsid w:val="00C61B1A"/>
    <w:rsid w:val="00C61DF3"/>
    <w:rsid w:val="00C620E3"/>
    <w:rsid w:val="00C62AE5"/>
    <w:rsid w:val="00C62E9C"/>
    <w:rsid w:val="00C63581"/>
    <w:rsid w:val="00C63809"/>
    <w:rsid w:val="00C6475A"/>
    <w:rsid w:val="00C6486E"/>
    <w:rsid w:val="00C64954"/>
    <w:rsid w:val="00C64B2B"/>
    <w:rsid w:val="00C65708"/>
    <w:rsid w:val="00C65BCD"/>
    <w:rsid w:val="00C65CDD"/>
    <w:rsid w:val="00C664C5"/>
    <w:rsid w:val="00C664DB"/>
    <w:rsid w:val="00C66821"/>
    <w:rsid w:val="00C67662"/>
    <w:rsid w:val="00C67C9A"/>
    <w:rsid w:val="00C7121D"/>
    <w:rsid w:val="00C714F2"/>
    <w:rsid w:val="00C7178A"/>
    <w:rsid w:val="00C71AE2"/>
    <w:rsid w:val="00C72CE0"/>
    <w:rsid w:val="00C7398B"/>
    <w:rsid w:val="00C739F4"/>
    <w:rsid w:val="00C73D91"/>
    <w:rsid w:val="00C73D99"/>
    <w:rsid w:val="00C7482B"/>
    <w:rsid w:val="00C74AC6"/>
    <w:rsid w:val="00C74B24"/>
    <w:rsid w:val="00C759EE"/>
    <w:rsid w:val="00C75A26"/>
    <w:rsid w:val="00C75AED"/>
    <w:rsid w:val="00C76047"/>
    <w:rsid w:val="00C76395"/>
    <w:rsid w:val="00C765B0"/>
    <w:rsid w:val="00C76613"/>
    <w:rsid w:val="00C76876"/>
    <w:rsid w:val="00C76F7D"/>
    <w:rsid w:val="00C7717D"/>
    <w:rsid w:val="00C77296"/>
    <w:rsid w:val="00C7736B"/>
    <w:rsid w:val="00C77928"/>
    <w:rsid w:val="00C800CF"/>
    <w:rsid w:val="00C8023E"/>
    <w:rsid w:val="00C80589"/>
    <w:rsid w:val="00C806E6"/>
    <w:rsid w:val="00C80DE0"/>
    <w:rsid w:val="00C80EBB"/>
    <w:rsid w:val="00C81249"/>
    <w:rsid w:val="00C8192D"/>
    <w:rsid w:val="00C81B6A"/>
    <w:rsid w:val="00C81B92"/>
    <w:rsid w:val="00C81BE5"/>
    <w:rsid w:val="00C81D59"/>
    <w:rsid w:val="00C820C3"/>
    <w:rsid w:val="00C825D3"/>
    <w:rsid w:val="00C82915"/>
    <w:rsid w:val="00C829FF"/>
    <w:rsid w:val="00C82EF0"/>
    <w:rsid w:val="00C82F82"/>
    <w:rsid w:val="00C8323B"/>
    <w:rsid w:val="00C8336F"/>
    <w:rsid w:val="00C836FF"/>
    <w:rsid w:val="00C838F6"/>
    <w:rsid w:val="00C841A3"/>
    <w:rsid w:val="00C8477B"/>
    <w:rsid w:val="00C85B47"/>
    <w:rsid w:val="00C86270"/>
    <w:rsid w:val="00C87160"/>
    <w:rsid w:val="00C87457"/>
    <w:rsid w:val="00C87597"/>
    <w:rsid w:val="00C877C1"/>
    <w:rsid w:val="00C879AB"/>
    <w:rsid w:val="00C901E2"/>
    <w:rsid w:val="00C9065D"/>
    <w:rsid w:val="00C9116C"/>
    <w:rsid w:val="00C9147D"/>
    <w:rsid w:val="00C91765"/>
    <w:rsid w:val="00C91ADE"/>
    <w:rsid w:val="00C91BC5"/>
    <w:rsid w:val="00C91C4B"/>
    <w:rsid w:val="00C91E86"/>
    <w:rsid w:val="00C91EFF"/>
    <w:rsid w:val="00C925E7"/>
    <w:rsid w:val="00C92C1B"/>
    <w:rsid w:val="00C92CA9"/>
    <w:rsid w:val="00C92E7D"/>
    <w:rsid w:val="00C9307E"/>
    <w:rsid w:val="00C930EF"/>
    <w:rsid w:val="00C933AD"/>
    <w:rsid w:val="00C93694"/>
    <w:rsid w:val="00C93868"/>
    <w:rsid w:val="00C9462C"/>
    <w:rsid w:val="00C946DD"/>
    <w:rsid w:val="00C9487B"/>
    <w:rsid w:val="00C94B85"/>
    <w:rsid w:val="00C94E06"/>
    <w:rsid w:val="00C95027"/>
    <w:rsid w:val="00C95142"/>
    <w:rsid w:val="00C951B1"/>
    <w:rsid w:val="00C955BF"/>
    <w:rsid w:val="00C957DC"/>
    <w:rsid w:val="00C95CC4"/>
    <w:rsid w:val="00C95D15"/>
    <w:rsid w:val="00C96376"/>
    <w:rsid w:val="00C969A4"/>
    <w:rsid w:val="00C97C4B"/>
    <w:rsid w:val="00CA00B9"/>
    <w:rsid w:val="00CA02A8"/>
    <w:rsid w:val="00CA0979"/>
    <w:rsid w:val="00CA1215"/>
    <w:rsid w:val="00CA16CF"/>
    <w:rsid w:val="00CA183A"/>
    <w:rsid w:val="00CA1849"/>
    <w:rsid w:val="00CA1B56"/>
    <w:rsid w:val="00CA2A1B"/>
    <w:rsid w:val="00CA31E1"/>
    <w:rsid w:val="00CA35B6"/>
    <w:rsid w:val="00CA36DD"/>
    <w:rsid w:val="00CA378B"/>
    <w:rsid w:val="00CA3794"/>
    <w:rsid w:val="00CA3F7E"/>
    <w:rsid w:val="00CA4A40"/>
    <w:rsid w:val="00CA4F73"/>
    <w:rsid w:val="00CA538F"/>
    <w:rsid w:val="00CA5ACB"/>
    <w:rsid w:val="00CA5FBE"/>
    <w:rsid w:val="00CA6679"/>
    <w:rsid w:val="00CA7000"/>
    <w:rsid w:val="00CA73B6"/>
    <w:rsid w:val="00CA7750"/>
    <w:rsid w:val="00CA7805"/>
    <w:rsid w:val="00CA7997"/>
    <w:rsid w:val="00CB0026"/>
    <w:rsid w:val="00CB03A2"/>
    <w:rsid w:val="00CB078F"/>
    <w:rsid w:val="00CB07EF"/>
    <w:rsid w:val="00CB0C5C"/>
    <w:rsid w:val="00CB13D7"/>
    <w:rsid w:val="00CB1553"/>
    <w:rsid w:val="00CB198F"/>
    <w:rsid w:val="00CB1ACC"/>
    <w:rsid w:val="00CB1AF9"/>
    <w:rsid w:val="00CB22FD"/>
    <w:rsid w:val="00CB23C7"/>
    <w:rsid w:val="00CB2992"/>
    <w:rsid w:val="00CB2DF3"/>
    <w:rsid w:val="00CB3A57"/>
    <w:rsid w:val="00CB3E70"/>
    <w:rsid w:val="00CB4176"/>
    <w:rsid w:val="00CB4C80"/>
    <w:rsid w:val="00CB4D5F"/>
    <w:rsid w:val="00CB5124"/>
    <w:rsid w:val="00CB598F"/>
    <w:rsid w:val="00CB5D93"/>
    <w:rsid w:val="00CB6868"/>
    <w:rsid w:val="00CB6BA8"/>
    <w:rsid w:val="00CB7605"/>
    <w:rsid w:val="00CB7C36"/>
    <w:rsid w:val="00CB7E51"/>
    <w:rsid w:val="00CC01F6"/>
    <w:rsid w:val="00CC05FE"/>
    <w:rsid w:val="00CC0ACA"/>
    <w:rsid w:val="00CC0CC7"/>
    <w:rsid w:val="00CC0E6D"/>
    <w:rsid w:val="00CC1833"/>
    <w:rsid w:val="00CC312C"/>
    <w:rsid w:val="00CC33B1"/>
    <w:rsid w:val="00CC355F"/>
    <w:rsid w:val="00CC3D98"/>
    <w:rsid w:val="00CC3DF9"/>
    <w:rsid w:val="00CC42F8"/>
    <w:rsid w:val="00CC4C2C"/>
    <w:rsid w:val="00CC4E9A"/>
    <w:rsid w:val="00CC4F47"/>
    <w:rsid w:val="00CC513E"/>
    <w:rsid w:val="00CC5550"/>
    <w:rsid w:val="00CC5886"/>
    <w:rsid w:val="00CC5AC8"/>
    <w:rsid w:val="00CC65DD"/>
    <w:rsid w:val="00CC67F1"/>
    <w:rsid w:val="00CC6A31"/>
    <w:rsid w:val="00CC7226"/>
    <w:rsid w:val="00CC72E9"/>
    <w:rsid w:val="00CC7396"/>
    <w:rsid w:val="00CC7B76"/>
    <w:rsid w:val="00CD007F"/>
    <w:rsid w:val="00CD089C"/>
    <w:rsid w:val="00CD0945"/>
    <w:rsid w:val="00CD0C84"/>
    <w:rsid w:val="00CD0CAD"/>
    <w:rsid w:val="00CD12E6"/>
    <w:rsid w:val="00CD1B9B"/>
    <w:rsid w:val="00CD1CD2"/>
    <w:rsid w:val="00CD2799"/>
    <w:rsid w:val="00CD298C"/>
    <w:rsid w:val="00CD367C"/>
    <w:rsid w:val="00CD3763"/>
    <w:rsid w:val="00CD4895"/>
    <w:rsid w:val="00CD4AE1"/>
    <w:rsid w:val="00CD4E6D"/>
    <w:rsid w:val="00CD5249"/>
    <w:rsid w:val="00CD537D"/>
    <w:rsid w:val="00CD53A4"/>
    <w:rsid w:val="00CD5655"/>
    <w:rsid w:val="00CD5BFA"/>
    <w:rsid w:val="00CD6001"/>
    <w:rsid w:val="00CD6178"/>
    <w:rsid w:val="00CD6182"/>
    <w:rsid w:val="00CD61E7"/>
    <w:rsid w:val="00CD621C"/>
    <w:rsid w:val="00CD622E"/>
    <w:rsid w:val="00CD6AEA"/>
    <w:rsid w:val="00CD6BB8"/>
    <w:rsid w:val="00CD6D01"/>
    <w:rsid w:val="00CD6D6A"/>
    <w:rsid w:val="00CD6DF2"/>
    <w:rsid w:val="00CD70F0"/>
    <w:rsid w:val="00CD73D3"/>
    <w:rsid w:val="00CD76E3"/>
    <w:rsid w:val="00CD78AD"/>
    <w:rsid w:val="00CD7ABB"/>
    <w:rsid w:val="00CD7AF5"/>
    <w:rsid w:val="00CD7CA3"/>
    <w:rsid w:val="00CE02BE"/>
    <w:rsid w:val="00CE0492"/>
    <w:rsid w:val="00CE07AA"/>
    <w:rsid w:val="00CE0874"/>
    <w:rsid w:val="00CE0B31"/>
    <w:rsid w:val="00CE0C21"/>
    <w:rsid w:val="00CE1957"/>
    <w:rsid w:val="00CE19AF"/>
    <w:rsid w:val="00CE1B83"/>
    <w:rsid w:val="00CE1B94"/>
    <w:rsid w:val="00CE1CF9"/>
    <w:rsid w:val="00CE2455"/>
    <w:rsid w:val="00CE251F"/>
    <w:rsid w:val="00CE2AE9"/>
    <w:rsid w:val="00CE2F51"/>
    <w:rsid w:val="00CE32AE"/>
    <w:rsid w:val="00CE3640"/>
    <w:rsid w:val="00CE3BA8"/>
    <w:rsid w:val="00CE41AC"/>
    <w:rsid w:val="00CE4668"/>
    <w:rsid w:val="00CE508D"/>
    <w:rsid w:val="00CE56BA"/>
    <w:rsid w:val="00CE5A2B"/>
    <w:rsid w:val="00CE5C68"/>
    <w:rsid w:val="00CE648C"/>
    <w:rsid w:val="00CE6F37"/>
    <w:rsid w:val="00CE76BD"/>
    <w:rsid w:val="00CE7B8C"/>
    <w:rsid w:val="00CF05F9"/>
    <w:rsid w:val="00CF0836"/>
    <w:rsid w:val="00CF0E01"/>
    <w:rsid w:val="00CF1242"/>
    <w:rsid w:val="00CF13E7"/>
    <w:rsid w:val="00CF1C06"/>
    <w:rsid w:val="00CF1FEE"/>
    <w:rsid w:val="00CF2478"/>
    <w:rsid w:val="00CF2B7A"/>
    <w:rsid w:val="00CF333C"/>
    <w:rsid w:val="00CF3714"/>
    <w:rsid w:val="00CF4282"/>
    <w:rsid w:val="00CF462E"/>
    <w:rsid w:val="00CF46F7"/>
    <w:rsid w:val="00CF4949"/>
    <w:rsid w:val="00CF4A89"/>
    <w:rsid w:val="00CF4E8A"/>
    <w:rsid w:val="00CF521B"/>
    <w:rsid w:val="00CF524F"/>
    <w:rsid w:val="00CF52C9"/>
    <w:rsid w:val="00CF5B8E"/>
    <w:rsid w:val="00CF679B"/>
    <w:rsid w:val="00D00810"/>
    <w:rsid w:val="00D00F0D"/>
    <w:rsid w:val="00D0141B"/>
    <w:rsid w:val="00D01B1F"/>
    <w:rsid w:val="00D01E16"/>
    <w:rsid w:val="00D01FBB"/>
    <w:rsid w:val="00D02098"/>
    <w:rsid w:val="00D02454"/>
    <w:rsid w:val="00D02B29"/>
    <w:rsid w:val="00D035CA"/>
    <w:rsid w:val="00D03C08"/>
    <w:rsid w:val="00D04070"/>
    <w:rsid w:val="00D0431F"/>
    <w:rsid w:val="00D0493D"/>
    <w:rsid w:val="00D04A62"/>
    <w:rsid w:val="00D04C33"/>
    <w:rsid w:val="00D04DEA"/>
    <w:rsid w:val="00D04EFF"/>
    <w:rsid w:val="00D05000"/>
    <w:rsid w:val="00D0502B"/>
    <w:rsid w:val="00D057BD"/>
    <w:rsid w:val="00D05808"/>
    <w:rsid w:val="00D059A7"/>
    <w:rsid w:val="00D05D8D"/>
    <w:rsid w:val="00D05FBC"/>
    <w:rsid w:val="00D06031"/>
    <w:rsid w:val="00D06120"/>
    <w:rsid w:val="00D0656F"/>
    <w:rsid w:val="00D0685E"/>
    <w:rsid w:val="00D07A65"/>
    <w:rsid w:val="00D07B73"/>
    <w:rsid w:val="00D07C1E"/>
    <w:rsid w:val="00D10784"/>
    <w:rsid w:val="00D1091F"/>
    <w:rsid w:val="00D10E6F"/>
    <w:rsid w:val="00D1102D"/>
    <w:rsid w:val="00D110AD"/>
    <w:rsid w:val="00D11203"/>
    <w:rsid w:val="00D113C7"/>
    <w:rsid w:val="00D116E5"/>
    <w:rsid w:val="00D116F4"/>
    <w:rsid w:val="00D11A97"/>
    <w:rsid w:val="00D12166"/>
    <w:rsid w:val="00D12546"/>
    <w:rsid w:val="00D12808"/>
    <w:rsid w:val="00D135B4"/>
    <w:rsid w:val="00D135D3"/>
    <w:rsid w:val="00D13C5C"/>
    <w:rsid w:val="00D13D98"/>
    <w:rsid w:val="00D1408F"/>
    <w:rsid w:val="00D146D8"/>
    <w:rsid w:val="00D149C8"/>
    <w:rsid w:val="00D14DFD"/>
    <w:rsid w:val="00D14E6A"/>
    <w:rsid w:val="00D14E76"/>
    <w:rsid w:val="00D14FE3"/>
    <w:rsid w:val="00D14FE9"/>
    <w:rsid w:val="00D151AF"/>
    <w:rsid w:val="00D15734"/>
    <w:rsid w:val="00D15777"/>
    <w:rsid w:val="00D15A1F"/>
    <w:rsid w:val="00D15B48"/>
    <w:rsid w:val="00D15E87"/>
    <w:rsid w:val="00D1633E"/>
    <w:rsid w:val="00D16D71"/>
    <w:rsid w:val="00D174EB"/>
    <w:rsid w:val="00D177C8"/>
    <w:rsid w:val="00D17986"/>
    <w:rsid w:val="00D1798F"/>
    <w:rsid w:val="00D201F3"/>
    <w:rsid w:val="00D20203"/>
    <w:rsid w:val="00D2099B"/>
    <w:rsid w:val="00D20E56"/>
    <w:rsid w:val="00D214F3"/>
    <w:rsid w:val="00D21C62"/>
    <w:rsid w:val="00D21D81"/>
    <w:rsid w:val="00D22164"/>
    <w:rsid w:val="00D22176"/>
    <w:rsid w:val="00D22349"/>
    <w:rsid w:val="00D22827"/>
    <w:rsid w:val="00D22B56"/>
    <w:rsid w:val="00D2374B"/>
    <w:rsid w:val="00D24566"/>
    <w:rsid w:val="00D245EC"/>
    <w:rsid w:val="00D24899"/>
    <w:rsid w:val="00D249C8"/>
    <w:rsid w:val="00D24B08"/>
    <w:rsid w:val="00D251AA"/>
    <w:rsid w:val="00D254E4"/>
    <w:rsid w:val="00D2588E"/>
    <w:rsid w:val="00D26320"/>
    <w:rsid w:val="00D26499"/>
    <w:rsid w:val="00D26527"/>
    <w:rsid w:val="00D265DC"/>
    <w:rsid w:val="00D268AF"/>
    <w:rsid w:val="00D269F4"/>
    <w:rsid w:val="00D27222"/>
    <w:rsid w:val="00D27423"/>
    <w:rsid w:val="00D274B2"/>
    <w:rsid w:val="00D27526"/>
    <w:rsid w:val="00D279EA"/>
    <w:rsid w:val="00D27A72"/>
    <w:rsid w:val="00D27E29"/>
    <w:rsid w:val="00D30157"/>
    <w:rsid w:val="00D30536"/>
    <w:rsid w:val="00D31249"/>
    <w:rsid w:val="00D3129E"/>
    <w:rsid w:val="00D313B9"/>
    <w:rsid w:val="00D313ED"/>
    <w:rsid w:val="00D317A2"/>
    <w:rsid w:val="00D31AA8"/>
    <w:rsid w:val="00D31DCF"/>
    <w:rsid w:val="00D3217B"/>
    <w:rsid w:val="00D32217"/>
    <w:rsid w:val="00D3234D"/>
    <w:rsid w:val="00D328B9"/>
    <w:rsid w:val="00D32B39"/>
    <w:rsid w:val="00D33663"/>
    <w:rsid w:val="00D336E0"/>
    <w:rsid w:val="00D3384D"/>
    <w:rsid w:val="00D33D06"/>
    <w:rsid w:val="00D342D1"/>
    <w:rsid w:val="00D3466E"/>
    <w:rsid w:val="00D34EB6"/>
    <w:rsid w:val="00D359F9"/>
    <w:rsid w:val="00D3649D"/>
    <w:rsid w:val="00D36909"/>
    <w:rsid w:val="00D36950"/>
    <w:rsid w:val="00D36953"/>
    <w:rsid w:val="00D36C60"/>
    <w:rsid w:val="00D36D67"/>
    <w:rsid w:val="00D36F11"/>
    <w:rsid w:val="00D370F7"/>
    <w:rsid w:val="00D371DB"/>
    <w:rsid w:val="00D37397"/>
    <w:rsid w:val="00D377E7"/>
    <w:rsid w:val="00D37DE6"/>
    <w:rsid w:val="00D4000B"/>
    <w:rsid w:val="00D400A5"/>
    <w:rsid w:val="00D405E3"/>
    <w:rsid w:val="00D41609"/>
    <w:rsid w:val="00D4223C"/>
    <w:rsid w:val="00D42C11"/>
    <w:rsid w:val="00D42F11"/>
    <w:rsid w:val="00D434B9"/>
    <w:rsid w:val="00D437B8"/>
    <w:rsid w:val="00D4390B"/>
    <w:rsid w:val="00D4393F"/>
    <w:rsid w:val="00D44BAF"/>
    <w:rsid w:val="00D44F45"/>
    <w:rsid w:val="00D456E6"/>
    <w:rsid w:val="00D458EA"/>
    <w:rsid w:val="00D45999"/>
    <w:rsid w:val="00D45D26"/>
    <w:rsid w:val="00D46ED5"/>
    <w:rsid w:val="00D47176"/>
    <w:rsid w:val="00D47557"/>
    <w:rsid w:val="00D47725"/>
    <w:rsid w:val="00D47991"/>
    <w:rsid w:val="00D47C3E"/>
    <w:rsid w:val="00D47E33"/>
    <w:rsid w:val="00D47F60"/>
    <w:rsid w:val="00D50229"/>
    <w:rsid w:val="00D5027B"/>
    <w:rsid w:val="00D50505"/>
    <w:rsid w:val="00D5092D"/>
    <w:rsid w:val="00D50DE8"/>
    <w:rsid w:val="00D51199"/>
    <w:rsid w:val="00D51AD3"/>
    <w:rsid w:val="00D51E37"/>
    <w:rsid w:val="00D5238A"/>
    <w:rsid w:val="00D524D2"/>
    <w:rsid w:val="00D52782"/>
    <w:rsid w:val="00D52AA7"/>
    <w:rsid w:val="00D52CF3"/>
    <w:rsid w:val="00D53417"/>
    <w:rsid w:val="00D537A3"/>
    <w:rsid w:val="00D53871"/>
    <w:rsid w:val="00D53EEB"/>
    <w:rsid w:val="00D543CC"/>
    <w:rsid w:val="00D54720"/>
    <w:rsid w:val="00D5523D"/>
    <w:rsid w:val="00D55577"/>
    <w:rsid w:val="00D55846"/>
    <w:rsid w:val="00D5593E"/>
    <w:rsid w:val="00D55E4C"/>
    <w:rsid w:val="00D563CC"/>
    <w:rsid w:val="00D56795"/>
    <w:rsid w:val="00D56A87"/>
    <w:rsid w:val="00D56AAE"/>
    <w:rsid w:val="00D56BAD"/>
    <w:rsid w:val="00D57013"/>
    <w:rsid w:val="00D572B0"/>
    <w:rsid w:val="00D57463"/>
    <w:rsid w:val="00D575FA"/>
    <w:rsid w:val="00D5775F"/>
    <w:rsid w:val="00D5797F"/>
    <w:rsid w:val="00D57996"/>
    <w:rsid w:val="00D57E39"/>
    <w:rsid w:val="00D601D5"/>
    <w:rsid w:val="00D6041E"/>
    <w:rsid w:val="00D60980"/>
    <w:rsid w:val="00D60AB3"/>
    <w:rsid w:val="00D61B1A"/>
    <w:rsid w:val="00D61C81"/>
    <w:rsid w:val="00D632E5"/>
    <w:rsid w:val="00D6390A"/>
    <w:rsid w:val="00D643BB"/>
    <w:rsid w:val="00D64A45"/>
    <w:rsid w:val="00D64A88"/>
    <w:rsid w:val="00D64E41"/>
    <w:rsid w:val="00D6500B"/>
    <w:rsid w:val="00D6534F"/>
    <w:rsid w:val="00D65C55"/>
    <w:rsid w:val="00D65FF8"/>
    <w:rsid w:val="00D662B7"/>
    <w:rsid w:val="00D664C1"/>
    <w:rsid w:val="00D665AF"/>
    <w:rsid w:val="00D66673"/>
    <w:rsid w:val="00D66811"/>
    <w:rsid w:val="00D66A3E"/>
    <w:rsid w:val="00D66D16"/>
    <w:rsid w:val="00D67AE2"/>
    <w:rsid w:val="00D7126A"/>
    <w:rsid w:val="00D713B1"/>
    <w:rsid w:val="00D71BA2"/>
    <w:rsid w:val="00D71ED4"/>
    <w:rsid w:val="00D72591"/>
    <w:rsid w:val="00D72664"/>
    <w:rsid w:val="00D726C8"/>
    <w:rsid w:val="00D7272D"/>
    <w:rsid w:val="00D728C5"/>
    <w:rsid w:val="00D72D26"/>
    <w:rsid w:val="00D72F7D"/>
    <w:rsid w:val="00D7359E"/>
    <w:rsid w:val="00D7378A"/>
    <w:rsid w:val="00D737B0"/>
    <w:rsid w:val="00D738B9"/>
    <w:rsid w:val="00D73A80"/>
    <w:rsid w:val="00D73CC9"/>
    <w:rsid w:val="00D74620"/>
    <w:rsid w:val="00D746DD"/>
    <w:rsid w:val="00D746DE"/>
    <w:rsid w:val="00D74B67"/>
    <w:rsid w:val="00D7509F"/>
    <w:rsid w:val="00D7532C"/>
    <w:rsid w:val="00D75687"/>
    <w:rsid w:val="00D757E4"/>
    <w:rsid w:val="00D75D14"/>
    <w:rsid w:val="00D75ECA"/>
    <w:rsid w:val="00D75FD5"/>
    <w:rsid w:val="00D76075"/>
    <w:rsid w:val="00D76112"/>
    <w:rsid w:val="00D761EA"/>
    <w:rsid w:val="00D76757"/>
    <w:rsid w:val="00D76CFB"/>
    <w:rsid w:val="00D76F9B"/>
    <w:rsid w:val="00D7766B"/>
    <w:rsid w:val="00D776B9"/>
    <w:rsid w:val="00D77905"/>
    <w:rsid w:val="00D77CE6"/>
    <w:rsid w:val="00D7C671"/>
    <w:rsid w:val="00D8014A"/>
    <w:rsid w:val="00D801EE"/>
    <w:rsid w:val="00D80233"/>
    <w:rsid w:val="00D80425"/>
    <w:rsid w:val="00D80454"/>
    <w:rsid w:val="00D80780"/>
    <w:rsid w:val="00D808E9"/>
    <w:rsid w:val="00D80A9E"/>
    <w:rsid w:val="00D80E4D"/>
    <w:rsid w:val="00D811B5"/>
    <w:rsid w:val="00D812B2"/>
    <w:rsid w:val="00D81596"/>
    <w:rsid w:val="00D81685"/>
    <w:rsid w:val="00D81CCF"/>
    <w:rsid w:val="00D81E85"/>
    <w:rsid w:val="00D81F4C"/>
    <w:rsid w:val="00D821AF"/>
    <w:rsid w:val="00D82396"/>
    <w:rsid w:val="00D8250B"/>
    <w:rsid w:val="00D829FF"/>
    <w:rsid w:val="00D838A9"/>
    <w:rsid w:val="00D83E73"/>
    <w:rsid w:val="00D84660"/>
    <w:rsid w:val="00D849A1"/>
    <w:rsid w:val="00D84EC3"/>
    <w:rsid w:val="00D85242"/>
    <w:rsid w:val="00D85FCA"/>
    <w:rsid w:val="00D8602C"/>
    <w:rsid w:val="00D863F4"/>
    <w:rsid w:val="00D86BEF"/>
    <w:rsid w:val="00D87171"/>
    <w:rsid w:val="00D87552"/>
    <w:rsid w:val="00D87920"/>
    <w:rsid w:val="00D87E25"/>
    <w:rsid w:val="00D90381"/>
    <w:rsid w:val="00D903D0"/>
    <w:rsid w:val="00D90438"/>
    <w:rsid w:val="00D9050E"/>
    <w:rsid w:val="00D90591"/>
    <w:rsid w:val="00D90BB0"/>
    <w:rsid w:val="00D90CE4"/>
    <w:rsid w:val="00D90DFF"/>
    <w:rsid w:val="00D90E1C"/>
    <w:rsid w:val="00D91260"/>
    <w:rsid w:val="00D9151F"/>
    <w:rsid w:val="00D91C5D"/>
    <w:rsid w:val="00D9206C"/>
    <w:rsid w:val="00D92809"/>
    <w:rsid w:val="00D92BE4"/>
    <w:rsid w:val="00D933AF"/>
    <w:rsid w:val="00D934C0"/>
    <w:rsid w:val="00D93B68"/>
    <w:rsid w:val="00D9420A"/>
    <w:rsid w:val="00D942D2"/>
    <w:rsid w:val="00D95A4A"/>
    <w:rsid w:val="00D96125"/>
    <w:rsid w:val="00D967DE"/>
    <w:rsid w:val="00D96861"/>
    <w:rsid w:val="00D96892"/>
    <w:rsid w:val="00D96F93"/>
    <w:rsid w:val="00DA0091"/>
    <w:rsid w:val="00DA0267"/>
    <w:rsid w:val="00DA03B7"/>
    <w:rsid w:val="00DA1F2C"/>
    <w:rsid w:val="00DA25A6"/>
    <w:rsid w:val="00DA2AB9"/>
    <w:rsid w:val="00DA2AF3"/>
    <w:rsid w:val="00DA3B14"/>
    <w:rsid w:val="00DA43D6"/>
    <w:rsid w:val="00DA47EB"/>
    <w:rsid w:val="00DA4B5A"/>
    <w:rsid w:val="00DA503E"/>
    <w:rsid w:val="00DA521F"/>
    <w:rsid w:val="00DA5575"/>
    <w:rsid w:val="00DA59D6"/>
    <w:rsid w:val="00DA5A0D"/>
    <w:rsid w:val="00DA6216"/>
    <w:rsid w:val="00DA62F1"/>
    <w:rsid w:val="00DA63CC"/>
    <w:rsid w:val="00DA63DF"/>
    <w:rsid w:val="00DA6402"/>
    <w:rsid w:val="00DA64E5"/>
    <w:rsid w:val="00DA6639"/>
    <w:rsid w:val="00DA6798"/>
    <w:rsid w:val="00DA6B26"/>
    <w:rsid w:val="00DA6C0E"/>
    <w:rsid w:val="00DA7039"/>
    <w:rsid w:val="00DA70CA"/>
    <w:rsid w:val="00DA7F20"/>
    <w:rsid w:val="00DA7F40"/>
    <w:rsid w:val="00DB05B2"/>
    <w:rsid w:val="00DB07CA"/>
    <w:rsid w:val="00DB1B22"/>
    <w:rsid w:val="00DB1B3D"/>
    <w:rsid w:val="00DB1F0D"/>
    <w:rsid w:val="00DB2247"/>
    <w:rsid w:val="00DB2268"/>
    <w:rsid w:val="00DB2A2C"/>
    <w:rsid w:val="00DB368C"/>
    <w:rsid w:val="00DB3BB5"/>
    <w:rsid w:val="00DB3DBF"/>
    <w:rsid w:val="00DB3F80"/>
    <w:rsid w:val="00DB4224"/>
    <w:rsid w:val="00DB47BF"/>
    <w:rsid w:val="00DB4D73"/>
    <w:rsid w:val="00DB4E82"/>
    <w:rsid w:val="00DB4E88"/>
    <w:rsid w:val="00DB537B"/>
    <w:rsid w:val="00DB54D8"/>
    <w:rsid w:val="00DB594F"/>
    <w:rsid w:val="00DB6B32"/>
    <w:rsid w:val="00DB6DA4"/>
    <w:rsid w:val="00DB7085"/>
    <w:rsid w:val="00DB7167"/>
    <w:rsid w:val="00DB7ABD"/>
    <w:rsid w:val="00DB7FD8"/>
    <w:rsid w:val="00DC018B"/>
    <w:rsid w:val="00DC05B1"/>
    <w:rsid w:val="00DC0605"/>
    <w:rsid w:val="00DC0676"/>
    <w:rsid w:val="00DC070C"/>
    <w:rsid w:val="00DC0A0A"/>
    <w:rsid w:val="00DC0A7E"/>
    <w:rsid w:val="00DC0BCA"/>
    <w:rsid w:val="00DC1559"/>
    <w:rsid w:val="00DC1684"/>
    <w:rsid w:val="00DC1BB5"/>
    <w:rsid w:val="00DC1D7A"/>
    <w:rsid w:val="00DC20EF"/>
    <w:rsid w:val="00DC21CD"/>
    <w:rsid w:val="00DC39BC"/>
    <w:rsid w:val="00DC3E8D"/>
    <w:rsid w:val="00DC41F7"/>
    <w:rsid w:val="00DC48C1"/>
    <w:rsid w:val="00DC502D"/>
    <w:rsid w:val="00DC533D"/>
    <w:rsid w:val="00DC589B"/>
    <w:rsid w:val="00DC5BF8"/>
    <w:rsid w:val="00DC5FDA"/>
    <w:rsid w:val="00DC6A31"/>
    <w:rsid w:val="00DC735A"/>
    <w:rsid w:val="00DC7579"/>
    <w:rsid w:val="00DC7597"/>
    <w:rsid w:val="00DC79FC"/>
    <w:rsid w:val="00DC7E0B"/>
    <w:rsid w:val="00DC7F61"/>
    <w:rsid w:val="00DD0D95"/>
    <w:rsid w:val="00DD1858"/>
    <w:rsid w:val="00DD1C00"/>
    <w:rsid w:val="00DD22B8"/>
    <w:rsid w:val="00DD238D"/>
    <w:rsid w:val="00DD2738"/>
    <w:rsid w:val="00DD294A"/>
    <w:rsid w:val="00DD29FF"/>
    <w:rsid w:val="00DD2A11"/>
    <w:rsid w:val="00DD2CED"/>
    <w:rsid w:val="00DD2E95"/>
    <w:rsid w:val="00DD3891"/>
    <w:rsid w:val="00DD3BFA"/>
    <w:rsid w:val="00DD3C30"/>
    <w:rsid w:val="00DD40B5"/>
    <w:rsid w:val="00DD434B"/>
    <w:rsid w:val="00DD5324"/>
    <w:rsid w:val="00DD55C8"/>
    <w:rsid w:val="00DD57D4"/>
    <w:rsid w:val="00DD58AD"/>
    <w:rsid w:val="00DD594F"/>
    <w:rsid w:val="00DD66AA"/>
    <w:rsid w:val="00DD66E9"/>
    <w:rsid w:val="00DD6D21"/>
    <w:rsid w:val="00DD6F9B"/>
    <w:rsid w:val="00DD702B"/>
    <w:rsid w:val="00DD7338"/>
    <w:rsid w:val="00DD76CB"/>
    <w:rsid w:val="00DD7C67"/>
    <w:rsid w:val="00DD7CB4"/>
    <w:rsid w:val="00DD7CEF"/>
    <w:rsid w:val="00DE052F"/>
    <w:rsid w:val="00DE05C9"/>
    <w:rsid w:val="00DE05E8"/>
    <w:rsid w:val="00DE0A74"/>
    <w:rsid w:val="00DE13A9"/>
    <w:rsid w:val="00DE14DD"/>
    <w:rsid w:val="00DE1DBD"/>
    <w:rsid w:val="00DE1E49"/>
    <w:rsid w:val="00DE2990"/>
    <w:rsid w:val="00DE3013"/>
    <w:rsid w:val="00DE36F1"/>
    <w:rsid w:val="00DE3BE6"/>
    <w:rsid w:val="00DE3E90"/>
    <w:rsid w:val="00DE4741"/>
    <w:rsid w:val="00DE5381"/>
    <w:rsid w:val="00DE549C"/>
    <w:rsid w:val="00DE58F8"/>
    <w:rsid w:val="00DE59D5"/>
    <w:rsid w:val="00DE5BCD"/>
    <w:rsid w:val="00DE5E73"/>
    <w:rsid w:val="00DE62FD"/>
    <w:rsid w:val="00DE631A"/>
    <w:rsid w:val="00DE6811"/>
    <w:rsid w:val="00DE68B3"/>
    <w:rsid w:val="00DE7088"/>
    <w:rsid w:val="00DE7665"/>
    <w:rsid w:val="00DE7DFE"/>
    <w:rsid w:val="00DE7EBB"/>
    <w:rsid w:val="00DF02B3"/>
    <w:rsid w:val="00DF0546"/>
    <w:rsid w:val="00DF0588"/>
    <w:rsid w:val="00DF0718"/>
    <w:rsid w:val="00DF0A7A"/>
    <w:rsid w:val="00DF0B5E"/>
    <w:rsid w:val="00DF0EA4"/>
    <w:rsid w:val="00DF0F31"/>
    <w:rsid w:val="00DF1195"/>
    <w:rsid w:val="00DF20B9"/>
    <w:rsid w:val="00DF278F"/>
    <w:rsid w:val="00DF2CF4"/>
    <w:rsid w:val="00DF2DD2"/>
    <w:rsid w:val="00DF324A"/>
    <w:rsid w:val="00DF3576"/>
    <w:rsid w:val="00DF3961"/>
    <w:rsid w:val="00DF3AEE"/>
    <w:rsid w:val="00DF3BA7"/>
    <w:rsid w:val="00DF3C2A"/>
    <w:rsid w:val="00DF474D"/>
    <w:rsid w:val="00DF4C3E"/>
    <w:rsid w:val="00DF4EB0"/>
    <w:rsid w:val="00DF5089"/>
    <w:rsid w:val="00DF58C7"/>
    <w:rsid w:val="00DF5C99"/>
    <w:rsid w:val="00DF5EEC"/>
    <w:rsid w:val="00DF61BD"/>
    <w:rsid w:val="00DF61C0"/>
    <w:rsid w:val="00DF627D"/>
    <w:rsid w:val="00DF6779"/>
    <w:rsid w:val="00DF690B"/>
    <w:rsid w:val="00DF6B27"/>
    <w:rsid w:val="00DF6EAF"/>
    <w:rsid w:val="00DF719D"/>
    <w:rsid w:val="00DF71AF"/>
    <w:rsid w:val="00E00119"/>
    <w:rsid w:val="00E00788"/>
    <w:rsid w:val="00E00A10"/>
    <w:rsid w:val="00E00D3B"/>
    <w:rsid w:val="00E00D6C"/>
    <w:rsid w:val="00E00E78"/>
    <w:rsid w:val="00E0191E"/>
    <w:rsid w:val="00E01EE9"/>
    <w:rsid w:val="00E01FD9"/>
    <w:rsid w:val="00E02017"/>
    <w:rsid w:val="00E027C0"/>
    <w:rsid w:val="00E029E3"/>
    <w:rsid w:val="00E02CDA"/>
    <w:rsid w:val="00E02DF7"/>
    <w:rsid w:val="00E02FF2"/>
    <w:rsid w:val="00E0321C"/>
    <w:rsid w:val="00E03403"/>
    <w:rsid w:val="00E04534"/>
    <w:rsid w:val="00E045B7"/>
    <w:rsid w:val="00E04DD1"/>
    <w:rsid w:val="00E0567D"/>
    <w:rsid w:val="00E05B35"/>
    <w:rsid w:val="00E060F6"/>
    <w:rsid w:val="00E0616A"/>
    <w:rsid w:val="00E0651B"/>
    <w:rsid w:val="00E0711A"/>
    <w:rsid w:val="00E072D6"/>
    <w:rsid w:val="00E07798"/>
    <w:rsid w:val="00E0780C"/>
    <w:rsid w:val="00E1000F"/>
    <w:rsid w:val="00E10029"/>
    <w:rsid w:val="00E10437"/>
    <w:rsid w:val="00E1100A"/>
    <w:rsid w:val="00E1126B"/>
    <w:rsid w:val="00E114B3"/>
    <w:rsid w:val="00E11FAE"/>
    <w:rsid w:val="00E1201A"/>
    <w:rsid w:val="00E124BC"/>
    <w:rsid w:val="00E12926"/>
    <w:rsid w:val="00E12D8D"/>
    <w:rsid w:val="00E12EF3"/>
    <w:rsid w:val="00E1327D"/>
    <w:rsid w:val="00E1357F"/>
    <w:rsid w:val="00E13777"/>
    <w:rsid w:val="00E14531"/>
    <w:rsid w:val="00E1495F"/>
    <w:rsid w:val="00E15427"/>
    <w:rsid w:val="00E157C8"/>
    <w:rsid w:val="00E15F34"/>
    <w:rsid w:val="00E1660D"/>
    <w:rsid w:val="00E166DB"/>
    <w:rsid w:val="00E16795"/>
    <w:rsid w:val="00E16856"/>
    <w:rsid w:val="00E16883"/>
    <w:rsid w:val="00E16C4B"/>
    <w:rsid w:val="00E17040"/>
    <w:rsid w:val="00E17B41"/>
    <w:rsid w:val="00E17C4E"/>
    <w:rsid w:val="00E17CF4"/>
    <w:rsid w:val="00E17D69"/>
    <w:rsid w:val="00E208D9"/>
    <w:rsid w:val="00E20B0B"/>
    <w:rsid w:val="00E20EB0"/>
    <w:rsid w:val="00E210C5"/>
    <w:rsid w:val="00E212F1"/>
    <w:rsid w:val="00E21496"/>
    <w:rsid w:val="00E215EF"/>
    <w:rsid w:val="00E21602"/>
    <w:rsid w:val="00E217D5"/>
    <w:rsid w:val="00E21C8E"/>
    <w:rsid w:val="00E223CB"/>
    <w:rsid w:val="00E22797"/>
    <w:rsid w:val="00E229CE"/>
    <w:rsid w:val="00E22A99"/>
    <w:rsid w:val="00E232C8"/>
    <w:rsid w:val="00E236F9"/>
    <w:rsid w:val="00E2384A"/>
    <w:rsid w:val="00E239AA"/>
    <w:rsid w:val="00E24505"/>
    <w:rsid w:val="00E245D2"/>
    <w:rsid w:val="00E247A5"/>
    <w:rsid w:val="00E24B21"/>
    <w:rsid w:val="00E252F2"/>
    <w:rsid w:val="00E256EA"/>
    <w:rsid w:val="00E260C6"/>
    <w:rsid w:val="00E266D2"/>
    <w:rsid w:val="00E26AD8"/>
    <w:rsid w:val="00E2710F"/>
    <w:rsid w:val="00E273C9"/>
    <w:rsid w:val="00E277DF"/>
    <w:rsid w:val="00E277F8"/>
    <w:rsid w:val="00E279ED"/>
    <w:rsid w:val="00E27C3A"/>
    <w:rsid w:val="00E30779"/>
    <w:rsid w:val="00E31025"/>
    <w:rsid w:val="00E3141B"/>
    <w:rsid w:val="00E315F0"/>
    <w:rsid w:val="00E31C95"/>
    <w:rsid w:val="00E31D27"/>
    <w:rsid w:val="00E31FA3"/>
    <w:rsid w:val="00E320E7"/>
    <w:rsid w:val="00E33171"/>
    <w:rsid w:val="00E33924"/>
    <w:rsid w:val="00E33979"/>
    <w:rsid w:val="00E33CC0"/>
    <w:rsid w:val="00E33E47"/>
    <w:rsid w:val="00E34126"/>
    <w:rsid w:val="00E343FB"/>
    <w:rsid w:val="00E347F2"/>
    <w:rsid w:val="00E34DFF"/>
    <w:rsid w:val="00E35079"/>
    <w:rsid w:val="00E350FC"/>
    <w:rsid w:val="00E351AA"/>
    <w:rsid w:val="00E35C5A"/>
    <w:rsid w:val="00E35E18"/>
    <w:rsid w:val="00E360FD"/>
    <w:rsid w:val="00E361B9"/>
    <w:rsid w:val="00E3632B"/>
    <w:rsid w:val="00E36987"/>
    <w:rsid w:val="00E36D67"/>
    <w:rsid w:val="00E37066"/>
    <w:rsid w:val="00E3765E"/>
    <w:rsid w:val="00E37855"/>
    <w:rsid w:val="00E37C74"/>
    <w:rsid w:val="00E37D40"/>
    <w:rsid w:val="00E37DD1"/>
    <w:rsid w:val="00E37EEA"/>
    <w:rsid w:val="00E37EEF"/>
    <w:rsid w:val="00E405FB"/>
    <w:rsid w:val="00E407DF"/>
    <w:rsid w:val="00E40815"/>
    <w:rsid w:val="00E4099F"/>
    <w:rsid w:val="00E40A3F"/>
    <w:rsid w:val="00E40C45"/>
    <w:rsid w:val="00E40CD4"/>
    <w:rsid w:val="00E40CFE"/>
    <w:rsid w:val="00E40EC2"/>
    <w:rsid w:val="00E412A0"/>
    <w:rsid w:val="00E414C7"/>
    <w:rsid w:val="00E41910"/>
    <w:rsid w:val="00E41A16"/>
    <w:rsid w:val="00E41A1C"/>
    <w:rsid w:val="00E4239C"/>
    <w:rsid w:val="00E42A38"/>
    <w:rsid w:val="00E42EA3"/>
    <w:rsid w:val="00E43074"/>
    <w:rsid w:val="00E4321D"/>
    <w:rsid w:val="00E43351"/>
    <w:rsid w:val="00E43A27"/>
    <w:rsid w:val="00E43B67"/>
    <w:rsid w:val="00E43DFF"/>
    <w:rsid w:val="00E44009"/>
    <w:rsid w:val="00E4424B"/>
    <w:rsid w:val="00E442B8"/>
    <w:rsid w:val="00E446A9"/>
    <w:rsid w:val="00E44C17"/>
    <w:rsid w:val="00E44F87"/>
    <w:rsid w:val="00E45048"/>
    <w:rsid w:val="00E45067"/>
    <w:rsid w:val="00E45147"/>
    <w:rsid w:val="00E45454"/>
    <w:rsid w:val="00E458A1"/>
    <w:rsid w:val="00E45D5A"/>
    <w:rsid w:val="00E45D6D"/>
    <w:rsid w:val="00E45F88"/>
    <w:rsid w:val="00E460BB"/>
    <w:rsid w:val="00E46113"/>
    <w:rsid w:val="00E4619C"/>
    <w:rsid w:val="00E462E6"/>
    <w:rsid w:val="00E464F7"/>
    <w:rsid w:val="00E46BF2"/>
    <w:rsid w:val="00E47054"/>
    <w:rsid w:val="00E47736"/>
    <w:rsid w:val="00E47B38"/>
    <w:rsid w:val="00E47DEA"/>
    <w:rsid w:val="00E50098"/>
    <w:rsid w:val="00E5012C"/>
    <w:rsid w:val="00E501ED"/>
    <w:rsid w:val="00E5020F"/>
    <w:rsid w:val="00E50578"/>
    <w:rsid w:val="00E50964"/>
    <w:rsid w:val="00E50D3E"/>
    <w:rsid w:val="00E50D77"/>
    <w:rsid w:val="00E5137D"/>
    <w:rsid w:val="00E51D4D"/>
    <w:rsid w:val="00E51F9D"/>
    <w:rsid w:val="00E52034"/>
    <w:rsid w:val="00E52087"/>
    <w:rsid w:val="00E5244C"/>
    <w:rsid w:val="00E53B4E"/>
    <w:rsid w:val="00E53ED8"/>
    <w:rsid w:val="00E53EE7"/>
    <w:rsid w:val="00E5489A"/>
    <w:rsid w:val="00E5496C"/>
    <w:rsid w:val="00E54CE2"/>
    <w:rsid w:val="00E54E0D"/>
    <w:rsid w:val="00E5520D"/>
    <w:rsid w:val="00E5529D"/>
    <w:rsid w:val="00E55573"/>
    <w:rsid w:val="00E55715"/>
    <w:rsid w:val="00E55B2C"/>
    <w:rsid w:val="00E55C1C"/>
    <w:rsid w:val="00E55EE8"/>
    <w:rsid w:val="00E56510"/>
    <w:rsid w:val="00E56A7B"/>
    <w:rsid w:val="00E56BC6"/>
    <w:rsid w:val="00E56FF2"/>
    <w:rsid w:val="00E602A5"/>
    <w:rsid w:val="00E6138D"/>
    <w:rsid w:val="00E61460"/>
    <w:rsid w:val="00E62388"/>
    <w:rsid w:val="00E631F8"/>
    <w:rsid w:val="00E63579"/>
    <w:rsid w:val="00E63767"/>
    <w:rsid w:val="00E63990"/>
    <w:rsid w:val="00E64109"/>
    <w:rsid w:val="00E6491A"/>
    <w:rsid w:val="00E6511F"/>
    <w:rsid w:val="00E65807"/>
    <w:rsid w:val="00E65A8B"/>
    <w:rsid w:val="00E66C08"/>
    <w:rsid w:val="00E66CF2"/>
    <w:rsid w:val="00E67023"/>
    <w:rsid w:val="00E672AA"/>
    <w:rsid w:val="00E67586"/>
    <w:rsid w:val="00E67600"/>
    <w:rsid w:val="00E6774B"/>
    <w:rsid w:val="00E6793D"/>
    <w:rsid w:val="00E67DFF"/>
    <w:rsid w:val="00E67EAF"/>
    <w:rsid w:val="00E703BC"/>
    <w:rsid w:val="00E7116F"/>
    <w:rsid w:val="00E7147F"/>
    <w:rsid w:val="00E71A0C"/>
    <w:rsid w:val="00E71AF7"/>
    <w:rsid w:val="00E71C1D"/>
    <w:rsid w:val="00E720E6"/>
    <w:rsid w:val="00E72305"/>
    <w:rsid w:val="00E72538"/>
    <w:rsid w:val="00E727E3"/>
    <w:rsid w:val="00E729D4"/>
    <w:rsid w:val="00E73323"/>
    <w:rsid w:val="00E73326"/>
    <w:rsid w:val="00E748DF"/>
    <w:rsid w:val="00E75A52"/>
    <w:rsid w:val="00E75B57"/>
    <w:rsid w:val="00E75D68"/>
    <w:rsid w:val="00E75FEF"/>
    <w:rsid w:val="00E769D2"/>
    <w:rsid w:val="00E76F58"/>
    <w:rsid w:val="00E772B3"/>
    <w:rsid w:val="00E7769A"/>
    <w:rsid w:val="00E7780F"/>
    <w:rsid w:val="00E77C9A"/>
    <w:rsid w:val="00E80083"/>
    <w:rsid w:val="00E8009A"/>
    <w:rsid w:val="00E809AC"/>
    <w:rsid w:val="00E80D8D"/>
    <w:rsid w:val="00E80DFE"/>
    <w:rsid w:val="00E80EF9"/>
    <w:rsid w:val="00E80F1B"/>
    <w:rsid w:val="00E81300"/>
    <w:rsid w:val="00E8137C"/>
    <w:rsid w:val="00E81462"/>
    <w:rsid w:val="00E81EBB"/>
    <w:rsid w:val="00E81FDD"/>
    <w:rsid w:val="00E8200D"/>
    <w:rsid w:val="00E82474"/>
    <w:rsid w:val="00E829A0"/>
    <w:rsid w:val="00E82D55"/>
    <w:rsid w:val="00E82D9B"/>
    <w:rsid w:val="00E82FA1"/>
    <w:rsid w:val="00E836BA"/>
    <w:rsid w:val="00E83761"/>
    <w:rsid w:val="00E83C69"/>
    <w:rsid w:val="00E845C9"/>
    <w:rsid w:val="00E8467C"/>
    <w:rsid w:val="00E84FBF"/>
    <w:rsid w:val="00E8522E"/>
    <w:rsid w:val="00E85252"/>
    <w:rsid w:val="00E8561C"/>
    <w:rsid w:val="00E85917"/>
    <w:rsid w:val="00E859EA"/>
    <w:rsid w:val="00E868FE"/>
    <w:rsid w:val="00E869CB"/>
    <w:rsid w:val="00E869CE"/>
    <w:rsid w:val="00E86B59"/>
    <w:rsid w:val="00E86C2B"/>
    <w:rsid w:val="00E86C4A"/>
    <w:rsid w:val="00E86CD9"/>
    <w:rsid w:val="00E8738D"/>
    <w:rsid w:val="00E87392"/>
    <w:rsid w:val="00E873AC"/>
    <w:rsid w:val="00E875DE"/>
    <w:rsid w:val="00E87861"/>
    <w:rsid w:val="00E8789A"/>
    <w:rsid w:val="00E87ADE"/>
    <w:rsid w:val="00E87E23"/>
    <w:rsid w:val="00E87E4A"/>
    <w:rsid w:val="00E90A30"/>
    <w:rsid w:val="00E90BB0"/>
    <w:rsid w:val="00E91125"/>
    <w:rsid w:val="00E91369"/>
    <w:rsid w:val="00E9191E"/>
    <w:rsid w:val="00E91BBD"/>
    <w:rsid w:val="00E91DD3"/>
    <w:rsid w:val="00E92027"/>
    <w:rsid w:val="00E922AA"/>
    <w:rsid w:val="00E923AC"/>
    <w:rsid w:val="00E92465"/>
    <w:rsid w:val="00E924A6"/>
    <w:rsid w:val="00E9254B"/>
    <w:rsid w:val="00E929A4"/>
    <w:rsid w:val="00E92B99"/>
    <w:rsid w:val="00E92F0E"/>
    <w:rsid w:val="00E93335"/>
    <w:rsid w:val="00E94116"/>
    <w:rsid w:val="00E9413F"/>
    <w:rsid w:val="00E94437"/>
    <w:rsid w:val="00E947B7"/>
    <w:rsid w:val="00E94911"/>
    <w:rsid w:val="00E94C92"/>
    <w:rsid w:val="00E953A4"/>
    <w:rsid w:val="00E962B1"/>
    <w:rsid w:val="00E9646A"/>
    <w:rsid w:val="00E965D5"/>
    <w:rsid w:val="00E96928"/>
    <w:rsid w:val="00E97C8D"/>
    <w:rsid w:val="00E97E89"/>
    <w:rsid w:val="00E97EDC"/>
    <w:rsid w:val="00EA0346"/>
    <w:rsid w:val="00EA03AD"/>
    <w:rsid w:val="00EA0A00"/>
    <w:rsid w:val="00EA118C"/>
    <w:rsid w:val="00EA187B"/>
    <w:rsid w:val="00EA1BB7"/>
    <w:rsid w:val="00EA1ED6"/>
    <w:rsid w:val="00EA2089"/>
    <w:rsid w:val="00EA232F"/>
    <w:rsid w:val="00EA332F"/>
    <w:rsid w:val="00EA415A"/>
    <w:rsid w:val="00EA42BC"/>
    <w:rsid w:val="00EA4D32"/>
    <w:rsid w:val="00EA4D8F"/>
    <w:rsid w:val="00EA4F51"/>
    <w:rsid w:val="00EA584C"/>
    <w:rsid w:val="00EA6071"/>
    <w:rsid w:val="00EA60DA"/>
    <w:rsid w:val="00EA632A"/>
    <w:rsid w:val="00EA646F"/>
    <w:rsid w:val="00EA6573"/>
    <w:rsid w:val="00EA6E07"/>
    <w:rsid w:val="00EA777B"/>
    <w:rsid w:val="00EA7FE1"/>
    <w:rsid w:val="00EB048E"/>
    <w:rsid w:val="00EB0CCB"/>
    <w:rsid w:val="00EB0E2F"/>
    <w:rsid w:val="00EB0F6E"/>
    <w:rsid w:val="00EB0F75"/>
    <w:rsid w:val="00EB0FFB"/>
    <w:rsid w:val="00EB119B"/>
    <w:rsid w:val="00EB155C"/>
    <w:rsid w:val="00EB2084"/>
    <w:rsid w:val="00EB2153"/>
    <w:rsid w:val="00EB2332"/>
    <w:rsid w:val="00EB2473"/>
    <w:rsid w:val="00EB2C7A"/>
    <w:rsid w:val="00EB3033"/>
    <w:rsid w:val="00EB31C0"/>
    <w:rsid w:val="00EB34D0"/>
    <w:rsid w:val="00EB35C0"/>
    <w:rsid w:val="00EB37D5"/>
    <w:rsid w:val="00EB3EE5"/>
    <w:rsid w:val="00EB3F88"/>
    <w:rsid w:val="00EB443A"/>
    <w:rsid w:val="00EB486B"/>
    <w:rsid w:val="00EB4DDD"/>
    <w:rsid w:val="00EB527D"/>
    <w:rsid w:val="00EB55B7"/>
    <w:rsid w:val="00EB561C"/>
    <w:rsid w:val="00EB57B5"/>
    <w:rsid w:val="00EB5BAD"/>
    <w:rsid w:val="00EB614C"/>
    <w:rsid w:val="00EB61F4"/>
    <w:rsid w:val="00EB68FF"/>
    <w:rsid w:val="00EB6900"/>
    <w:rsid w:val="00EB7385"/>
    <w:rsid w:val="00EB75A2"/>
    <w:rsid w:val="00EB75CB"/>
    <w:rsid w:val="00EB76EE"/>
    <w:rsid w:val="00EB7B6E"/>
    <w:rsid w:val="00EB7D25"/>
    <w:rsid w:val="00EC0426"/>
    <w:rsid w:val="00EC08A5"/>
    <w:rsid w:val="00EC0EDC"/>
    <w:rsid w:val="00EC1EB2"/>
    <w:rsid w:val="00EC206F"/>
    <w:rsid w:val="00EC2291"/>
    <w:rsid w:val="00EC29E7"/>
    <w:rsid w:val="00EC2A16"/>
    <w:rsid w:val="00EC2B14"/>
    <w:rsid w:val="00EC2B38"/>
    <w:rsid w:val="00EC3320"/>
    <w:rsid w:val="00EC3332"/>
    <w:rsid w:val="00EC3437"/>
    <w:rsid w:val="00EC36C8"/>
    <w:rsid w:val="00EC46A7"/>
    <w:rsid w:val="00EC482E"/>
    <w:rsid w:val="00EC4C7A"/>
    <w:rsid w:val="00EC4FA4"/>
    <w:rsid w:val="00EC52D2"/>
    <w:rsid w:val="00EC5577"/>
    <w:rsid w:val="00EC5B51"/>
    <w:rsid w:val="00EC5C9C"/>
    <w:rsid w:val="00EC5F75"/>
    <w:rsid w:val="00EC65AE"/>
    <w:rsid w:val="00EC6D19"/>
    <w:rsid w:val="00EC6FF7"/>
    <w:rsid w:val="00EC7173"/>
    <w:rsid w:val="00EC76EC"/>
    <w:rsid w:val="00EC7C8D"/>
    <w:rsid w:val="00ED0247"/>
    <w:rsid w:val="00ED036E"/>
    <w:rsid w:val="00ED089C"/>
    <w:rsid w:val="00ED0988"/>
    <w:rsid w:val="00ED0CA1"/>
    <w:rsid w:val="00ED10EE"/>
    <w:rsid w:val="00ED12D6"/>
    <w:rsid w:val="00ED2023"/>
    <w:rsid w:val="00ED2B5B"/>
    <w:rsid w:val="00ED2DD9"/>
    <w:rsid w:val="00ED3FE8"/>
    <w:rsid w:val="00ED429D"/>
    <w:rsid w:val="00ED53A1"/>
    <w:rsid w:val="00ED53AC"/>
    <w:rsid w:val="00ED55F0"/>
    <w:rsid w:val="00ED5977"/>
    <w:rsid w:val="00ED5B26"/>
    <w:rsid w:val="00ED5D3B"/>
    <w:rsid w:val="00ED62E5"/>
    <w:rsid w:val="00ED640B"/>
    <w:rsid w:val="00ED7419"/>
    <w:rsid w:val="00ED7437"/>
    <w:rsid w:val="00ED7584"/>
    <w:rsid w:val="00ED7602"/>
    <w:rsid w:val="00ED7694"/>
    <w:rsid w:val="00EE022F"/>
    <w:rsid w:val="00EE0319"/>
    <w:rsid w:val="00EE0335"/>
    <w:rsid w:val="00EE0BA0"/>
    <w:rsid w:val="00EE0F81"/>
    <w:rsid w:val="00EE11A9"/>
    <w:rsid w:val="00EE11E2"/>
    <w:rsid w:val="00EE16D4"/>
    <w:rsid w:val="00EE17FC"/>
    <w:rsid w:val="00EE1956"/>
    <w:rsid w:val="00EE1FBE"/>
    <w:rsid w:val="00EE2270"/>
    <w:rsid w:val="00EE331C"/>
    <w:rsid w:val="00EE35AE"/>
    <w:rsid w:val="00EE3657"/>
    <w:rsid w:val="00EE3A73"/>
    <w:rsid w:val="00EE42D1"/>
    <w:rsid w:val="00EE43F6"/>
    <w:rsid w:val="00EE5145"/>
    <w:rsid w:val="00EE5402"/>
    <w:rsid w:val="00EE5737"/>
    <w:rsid w:val="00EE57D8"/>
    <w:rsid w:val="00EE58F0"/>
    <w:rsid w:val="00EE58F3"/>
    <w:rsid w:val="00EE599B"/>
    <w:rsid w:val="00EE6620"/>
    <w:rsid w:val="00EE6964"/>
    <w:rsid w:val="00EE6A7C"/>
    <w:rsid w:val="00EE6CF0"/>
    <w:rsid w:val="00EE6DD0"/>
    <w:rsid w:val="00EE7219"/>
    <w:rsid w:val="00EE7A02"/>
    <w:rsid w:val="00EE7E9D"/>
    <w:rsid w:val="00EE7F9B"/>
    <w:rsid w:val="00EF037C"/>
    <w:rsid w:val="00EF07D3"/>
    <w:rsid w:val="00EF101A"/>
    <w:rsid w:val="00EF1269"/>
    <w:rsid w:val="00EF128F"/>
    <w:rsid w:val="00EF13DB"/>
    <w:rsid w:val="00EF14CF"/>
    <w:rsid w:val="00EF1B2A"/>
    <w:rsid w:val="00EF1E02"/>
    <w:rsid w:val="00EF1E58"/>
    <w:rsid w:val="00EF2046"/>
    <w:rsid w:val="00EF2124"/>
    <w:rsid w:val="00EF2499"/>
    <w:rsid w:val="00EF2937"/>
    <w:rsid w:val="00EF2B31"/>
    <w:rsid w:val="00EF2C6E"/>
    <w:rsid w:val="00EF34CD"/>
    <w:rsid w:val="00EF3818"/>
    <w:rsid w:val="00EF41CC"/>
    <w:rsid w:val="00EF4295"/>
    <w:rsid w:val="00EF4382"/>
    <w:rsid w:val="00EF4585"/>
    <w:rsid w:val="00EF58E5"/>
    <w:rsid w:val="00EF59AE"/>
    <w:rsid w:val="00EF5AE7"/>
    <w:rsid w:val="00EF715D"/>
    <w:rsid w:val="00EF723D"/>
    <w:rsid w:val="00EF7404"/>
    <w:rsid w:val="00EF7EB2"/>
    <w:rsid w:val="00EF7FA3"/>
    <w:rsid w:val="00F004C6"/>
    <w:rsid w:val="00F004CE"/>
    <w:rsid w:val="00F005A4"/>
    <w:rsid w:val="00F009D5"/>
    <w:rsid w:val="00F00B70"/>
    <w:rsid w:val="00F00E28"/>
    <w:rsid w:val="00F010F5"/>
    <w:rsid w:val="00F01A1B"/>
    <w:rsid w:val="00F01F26"/>
    <w:rsid w:val="00F02BBA"/>
    <w:rsid w:val="00F037DF"/>
    <w:rsid w:val="00F0393F"/>
    <w:rsid w:val="00F03C2B"/>
    <w:rsid w:val="00F03D32"/>
    <w:rsid w:val="00F04248"/>
    <w:rsid w:val="00F04347"/>
    <w:rsid w:val="00F04815"/>
    <w:rsid w:val="00F04B15"/>
    <w:rsid w:val="00F04C22"/>
    <w:rsid w:val="00F04D86"/>
    <w:rsid w:val="00F051E6"/>
    <w:rsid w:val="00F055BD"/>
    <w:rsid w:val="00F05795"/>
    <w:rsid w:val="00F05A99"/>
    <w:rsid w:val="00F05BA2"/>
    <w:rsid w:val="00F05CA6"/>
    <w:rsid w:val="00F05E8F"/>
    <w:rsid w:val="00F06900"/>
    <w:rsid w:val="00F06E83"/>
    <w:rsid w:val="00F0784A"/>
    <w:rsid w:val="00F078F6"/>
    <w:rsid w:val="00F07B29"/>
    <w:rsid w:val="00F07E51"/>
    <w:rsid w:val="00F07EB7"/>
    <w:rsid w:val="00F10960"/>
    <w:rsid w:val="00F10B4F"/>
    <w:rsid w:val="00F10E80"/>
    <w:rsid w:val="00F11015"/>
    <w:rsid w:val="00F1120C"/>
    <w:rsid w:val="00F11602"/>
    <w:rsid w:val="00F11A93"/>
    <w:rsid w:val="00F11AC7"/>
    <w:rsid w:val="00F12188"/>
    <w:rsid w:val="00F1286D"/>
    <w:rsid w:val="00F12B2E"/>
    <w:rsid w:val="00F13133"/>
    <w:rsid w:val="00F13191"/>
    <w:rsid w:val="00F133CF"/>
    <w:rsid w:val="00F13694"/>
    <w:rsid w:val="00F13779"/>
    <w:rsid w:val="00F13EB5"/>
    <w:rsid w:val="00F142AA"/>
    <w:rsid w:val="00F14304"/>
    <w:rsid w:val="00F1437F"/>
    <w:rsid w:val="00F145FC"/>
    <w:rsid w:val="00F14E18"/>
    <w:rsid w:val="00F155C3"/>
    <w:rsid w:val="00F156FE"/>
    <w:rsid w:val="00F15F03"/>
    <w:rsid w:val="00F16634"/>
    <w:rsid w:val="00F1673C"/>
    <w:rsid w:val="00F172E4"/>
    <w:rsid w:val="00F2006B"/>
    <w:rsid w:val="00F20618"/>
    <w:rsid w:val="00F2088C"/>
    <w:rsid w:val="00F20FBA"/>
    <w:rsid w:val="00F2126B"/>
    <w:rsid w:val="00F214AD"/>
    <w:rsid w:val="00F2166E"/>
    <w:rsid w:val="00F2178D"/>
    <w:rsid w:val="00F218F0"/>
    <w:rsid w:val="00F2193B"/>
    <w:rsid w:val="00F21950"/>
    <w:rsid w:val="00F21C00"/>
    <w:rsid w:val="00F21D04"/>
    <w:rsid w:val="00F21E0B"/>
    <w:rsid w:val="00F21F7B"/>
    <w:rsid w:val="00F227B1"/>
    <w:rsid w:val="00F22961"/>
    <w:rsid w:val="00F22A22"/>
    <w:rsid w:val="00F22C69"/>
    <w:rsid w:val="00F22E74"/>
    <w:rsid w:val="00F2395C"/>
    <w:rsid w:val="00F23D5A"/>
    <w:rsid w:val="00F23E8F"/>
    <w:rsid w:val="00F24331"/>
    <w:rsid w:val="00F24990"/>
    <w:rsid w:val="00F249FC"/>
    <w:rsid w:val="00F255AD"/>
    <w:rsid w:val="00F2588D"/>
    <w:rsid w:val="00F25E52"/>
    <w:rsid w:val="00F25F04"/>
    <w:rsid w:val="00F261D4"/>
    <w:rsid w:val="00F262A4"/>
    <w:rsid w:val="00F262F8"/>
    <w:rsid w:val="00F26C43"/>
    <w:rsid w:val="00F2758D"/>
    <w:rsid w:val="00F275AB"/>
    <w:rsid w:val="00F276E4"/>
    <w:rsid w:val="00F30C45"/>
    <w:rsid w:val="00F3100A"/>
    <w:rsid w:val="00F31271"/>
    <w:rsid w:val="00F312B3"/>
    <w:rsid w:val="00F3137A"/>
    <w:rsid w:val="00F31753"/>
    <w:rsid w:val="00F31AB3"/>
    <w:rsid w:val="00F31C34"/>
    <w:rsid w:val="00F3223E"/>
    <w:rsid w:val="00F329B1"/>
    <w:rsid w:val="00F32D0A"/>
    <w:rsid w:val="00F32DBB"/>
    <w:rsid w:val="00F32E4F"/>
    <w:rsid w:val="00F33249"/>
    <w:rsid w:val="00F33392"/>
    <w:rsid w:val="00F3344C"/>
    <w:rsid w:val="00F3366E"/>
    <w:rsid w:val="00F344B0"/>
    <w:rsid w:val="00F34F20"/>
    <w:rsid w:val="00F35009"/>
    <w:rsid w:val="00F358E8"/>
    <w:rsid w:val="00F35B2C"/>
    <w:rsid w:val="00F35B4B"/>
    <w:rsid w:val="00F35D26"/>
    <w:rsid w:val="00F363B8"/>
    <w:rsid w:val="00F370D1"/>
    <w:rsid w:val="00F374AE"/>
    <w:rsid w:val="00F374BA"/>
    <w:rsid w:val="00F37621"/>
    <w:rsid w:val="00F3776E"/>
    <w:rsid w:val="00F378FC"/>
    <w:rsid w:val="00F37A36"/>
    <w:rsid w:val="00F37FF2"/>
    <w:rsid w:val="00F404C2"/>
    <w:rsid w:val="00F40628"/>
    <w:rsid w:val="00F4083D"/>
    <w:rsid w:val="00F40881"/>
    <w:rsid w:val="00F409C8"/>
    <w:rsid w:val="00F41510"/>
    <w:rsid w:val="00F418A9"/>
    <w:rsid w:val="00F41982"/>
    <w:rsid w:val="00F41C73"/>
    <w:rsid w:val="00F42634"/>
    <w:rsid w:val="00F429E0"/>
    <w:rsid w:val="00F42A90"/>
    <w:rsid w:val="00F432F2"/>
    <w:rsid w:val="00F43FA6"/>
    <w:rsid w:val="00F43FF8"/>
    <w:rsid w:val="00F44522"/>
    <w:rsid w:val="00F44A0E"/>
    <w:rsid w:val="00F44F83"/>
    <w:rsid w:val="00F45170"/>
    <w:rsid w:val="00F45AA4"/>
    <w:rsid w:val="00F46306"/>
    <w:rsid w:val="00F4638F"/>
    <w:rsid w:val="00F46737"/>
    <w:rsid w:val="00F46BE1"/>
    <w:rsid w:val="00F470CF"/>
    <w:rsid w:val="00F47C5F"/>
    <w:rsid w:val="00F47E72"/>
    <w:rsid w:val="00F47F5B"/>
    <w:rsid w:val="00F505A7"/>
    <w:rsid w:val="00F509FC"/>
    <w:rsid w:val="00F50F6B"/>
    <w:rsid w:val="00F5114D"/>
    <w:rsid w:val="00F512B5"/>
    <w:rsid w:val="00F51C85"/>
    <w:rsid w:val="00F51F10"/>
    <w:rsid w:val="00F520C5"/>
    <w:rsid w:val="00F529E6"/>
    <w:rsid w:val="00F52AD7"/>
    <w:rsid w:val="00F531D9"/>
    <w:rsid w:val="00F53AEA"/>
    <w:rsid w:val="00F53C25"/>
    <w:rsid w:val="00F53EAD"/>
    <w:rsid w:val="00F53EB3"/>
    <w:rsid w:val="00F549EF"/>
    <w:rsid w:val="00F54BFE"/>
    <w:rsid w:val="00F54C8A"/>
    <w:rsid w:val="00F54CF2"/>
    <w:rsid w:val="00F54E8F"/>
    <w:rsid w:val="00F55012"/>
    <w:rsid w:val="00F550BD"/>
    <w:rsid w:val="00F554C4"/>
    <w:rsid w:val="00F55F52"/>
    <w:rsid w:val="00F560C3"/>
    <w:rsid w:val="00F560DB"/>
    <w:rsid w:val="00F56728"/>
    <w:rsid w:val="00F5684F"/>
    <w:rsid w:val="00F5699E"/>
    <w:rsid w:val="00F56B85"/>
    <w:rsid w:val="00F56C1D"/>
    <w:rsid w:val="00F56E1B"/>
    <w:rsid w:val="00F56F84"/>
    <w:rsid w:val="00F5741A"/>
    <w:rsid w:val="00F57D33"/>
    <w:rsid w:val="00F60462"/>
    <w:rsid w:val="00F60832"/>
    <w:rsid w:val="00F60B53"/>
    <w:rsid w:val="00F60C5D"/>
    <w:rsid w:val="00F60E78"/>
    <w:rsid w:val="00F61291"/>
    <w:rsid w:val="00F61491"/>
    <w:rsid w:val="00F61CD0"/>
    <w:rsid w:val="00F61CE2"/>
    <w:rsid w:val="00F6254D"/>
    <w:rsid w:val="00F62859"/>
    <w:rsid w:val="00F62C68"/>
    <w:rsid w:val="00F62DAE"/>
    <w:rsid w:val="00F6339C"/>
    <w:rsid w:val="00F638EB"/>
    <w:rsid w:val="00F6450E"/>
    <w:rsid w:val="00F65003"/>
    <w:rsid w:val="00F65420"/>
    <w:rsid w:val="00F65D47"/>
    <w:rsid w:val="00F6633D"/>
    <w:rsid w:val="00F66D5E"/>
    <w:rsid w:val="00F6712A"/>
    <w:rsid w:val="00F704A5"/>
    <w:rsid w:val="00F70F02"/>
    <w:rsid w:val="00F718AE"/>
    <w:rsid w:val="00F719A4"/>
    <w:rsid w:val="00F71EF3"/>
    <w:rsid w:val="00F71F4B"/>
    <w:rsid w:val="00F7290F"/>
    <w:rsid w:val="00F7319E"/>
    <w:rsid w:val="00F732E3"/>
    <w:rsid w:val="00F737FE"/>
    <w:rsid w:val="00F7391E"/>
    <w:rsid w:val="00F7397E"/>
    <w:rsid w:val="00F73CF2"/>
    <w:rsid w:val="00F73D6C"/>
    <w:rsid w:val="00F745AE"/>
    <w:rsid w:val="00F75745"/>
    <w:rsid w:val="00F75764"/>
    <w:rsid w:val="00F75FD7"/>
    <w:rsid w:val="00F76648"/>
    <w:rsid w:val="00F776E5"/>
    <w:rsid w:val="00F77B23"/>
    <w:rsid w:val="00F77B6E"/>
    <w:rsid w:val="00F77F55"/>
    <w:rsid w:val="00F801F8"/>
    <w:rsid w:val="00F803B9"/>
    <w:rsid w:val="00F805BC"/>
    <w:rsid w:val="00F80A98"/>
    <w:rsid w:val="00F81386"/>
    <w:rsid w:val="00F824C2"/>
    <w:rsid w:val="00F82B05"/>
    <w:rsid w:val="00F82B0A"/>
    <w:rsid w:val="00F83203"/>
    <w:rsid w:val="00F83251"/>
    <w:rsid w:val="00F8342E"/>
    <w:rsid w:val="00F8381F"/>
    <w:rsid w:val="00F83C0A"/>
    <w:rsid w:val="00F8420C"/>
    <w:rsid w:val="00F8439D"/>
    <w:rsid w:val="00F8457E"/>
    <w:rsid w:val="00F84C05"/>
    <w:rsid w:val="00F84FFD"/>
    <w:rsid w:val="00F85381"/>
    <w:rsid w:val="00F85EEA"/>
    <w:rsid w:val="00F8608D"/>
    <w:rsid w:val="00F868BC"/>
    <w:rsid w:val="00F86991"/>
    <w:rsid w:val="00F87F42"/>
    <w:rsid w:val="00F9040F"/>
    <w:rsid w:val="00F91788"/>
    <w:rsid w:val="00F92B76"/>
    <w:rsid w:val="00F93144"/>
    <w:rsid w:val="00F931CD"/>
    <w:rsid w:val="00F93CD6"/>
    <w:rsid w:val="00F93FEA"/>
    <w:rsid w:val="00F94416"/>
    <w:rsid w:val="00F944CC"/>
    <w:rsid w:val="00F94DBE"/>
    <w:rsid w:val="00F951EF"/>
    <w:rsid w:val="00F9592A"/>
    <w:rsid w:val="00F95FEE"/>
    <w:rsid w:val="00F961A2"/>
    <w:rsid w:val="00F96330"/>
    <w:rsid w:val="00F96598"/>
    <w:rsid w:val="00F967AC"/>
    <w:rsid w:val="00F96C04"/>
    <w:rsid w:val="00F96F48"/>
    <w:rsid w:val="00F96F73"/>
    <w:rsid w:val="00F97186"/>
    <w:rsid w:val="00F97279"/>
    <w:rsid w:val="00F975E6"/>
    <w:rsid w:val="00F97B8A"/>
    <w:rsid w:val="00F97DFA"/>
    <w:rsid w:val="00F97E69"/>
    <w:rsid w:val="00F97F1D"/>
    <w:rsid w:val="00F97F3E"/>
    <w:rsid w:val="00FA0A57"/>
    <w:rsid w:val="00FA0B48"/>
    <w:rsid w:val="00FA13CC"/>
    <w:rsid w:val="00FA1BFB"/>
    <w:rsid w:val="00FA1EC8"/>
    <w:rsid w:val="00FA264F"/>
    <w:rsid w:val="00FA27B0"/>
    <w:rsid w:val="00FA2911"/>
    <w:rsid w:val="00FA2AFB"/>
    <w:rsid w:val="00FA3157"/>
    <w:rsid w:val="00FA3750"/>
    <w:rsid w:val="00FA3848"/>
    <w:rsid w:val="00FA3A16"/>
    <w:rsid w:val="00FA4944"/>
    <w:rsid w:val="00FA49AA"/>
    <w:rsid w:val="00FA4B22"/>
    <w:rsid w:val="00FA5006"/>
    <w:rsid w:val="00FA56E2"/>
    <w:rsid w:val="00FA5B28"/>
    <w:rsid w:val="00FA60EC"/>
    <w:rsid w:val="00FA6784"/>
    <w:rsid w:val="00FA6BE8"/>
    <w:rsid w:val="00FA6E20"/>
    <w:rsid w:val="00FA7A41"/>
    <w:rsid w:val="00FA7A73"/>
    <w:rsid w:val="00FA7BF4"/>
    <w:rsid w:val="00FB0579"/>
    <w:rsid w:val="00FB065E"/>
    <w:rsid w:val="00FB0A1E"/>
    <w:rsid w:val="00FB0BFB"/>
    <w:rsid w:val="00FB14D4"/>
    <w:rsid w:val="00FB154F"/>
    <w:rsid w:val="00FB1B35"/>
    <w:rsid w:val="00FB1BB1"/>
    <w:rsid w:val="00FB2203"/>
    <w:rsid w:val="00FB22D0"/>
    <w:rsid w:val="00FB29BD"/>
    <w:rsid w:val="00FB37A9"/>
    <w:rsid w:val="00FB3E7C"/>
    <w:rsid w:val="00FB41AA"/>
    <w:rsid w:val="00FB4375"/>
    <w:rsid w:val="00FB46EC"/>
    <w:rsid w:val="00FB47C4"/>
    <w:rsid w:val="00FB4831"/>
    <w:rsid w:val="00FB48AB"/>
    <w:rsid w:val="00FB49D3"/>
    <w:rsid w:val="00FB51C1"/>
    <w:rsid w:val="00FB5284"/>
    <w:rsid w:val="00FB644F"/>
    <w:rsid w:val="00FB6981"/>
    <w:rsid w:val="00FB6D41"/>
    <w:rsid w:val="00FB708B"/>
    <w:rsid w:val="00FB7917"/>
    <w:rsid w:val="00FB7C36"/>
    <w:rsid w:val="00FB7DE7"/>
    <w:rsid w:val="00FC0262"/>
    <w:rsid w:val="00FC103C"/>
    <w:rsid w:val="00FC13C7"/>
    <w:rsid w:val="00FC1505"/>
    <w:rsid w:val="00FC245D"/>
    <w:rsid w:val="00FC281B"/>
    <w:rsid w:val="00FC2CA2"/>
    <w:rsid w:val="00FC3687"/>
    <w:rsid w:val="00FC3BA2"/>
    <w:rsid w:val="00FC4060"/>
    <w:rsid w:val="00FC453B"/>
    <w:rsid w:val="00FC4690"/>
    <w:rsid w:val="00FC493D"/>
    <w:rsid w:val="00FC4DD7"/>
    <w:rsid w:val="00FC5047"/>
    <w:rsid w:val="00FC50BC"/>
    <w:rsid w:val="00FC5176"/>
    <w:rsid w:val="00FC51EE"/>
    <w:rsid w:val="00FC5430"/>
    <w:rsid w:val="00FC6152"/>
    <w:rsid w:val="00FC673D"/>
    <w:rsid w:val="00FC6C3A"/>
    <w:rsid w:val="00FC6EFB"/>
    <w:rsid w:val="00FC7036"/>
    <w:rsid w:val="00FC7618"/>
    <w:rsid w:val="00FC769A"/>
    <w:rsid w:val="00FC7752"/>
    <w:rsid w:val="00FC7A57"/>
    <w:rsid w:val="00FC7AA7"/>
    <w:rsid w:val="00FC7C62"/>
    <w:rsid w:val="00FC7DB9"/>
    <w:rsid w:val="00FD0205"/>
    <w:rsid w:val="00FD035D"/>
    <w:rsid w:val="00FD08C6"/>
    <w:rsid w:val="00FD08DC"/>
    <w:rsid w:val="00FD0AE7"/>
    <w:rsid w:val="00FD0B42"/>
    <w:rsid w:val="00FD1531"/>
    <w:rsid w:val="00FD18FA"/>
    <w:rsid w:val="00FD19DF"/>
    <w:rsid w:val="00FD1C0C"/>
    <w:rsid w:val="00FD1F09"/>
    <w:rsid w:val="00FD1F6E"/>
    <w:rsid w:val="00FD2574"/>
    <w:rsid w:val="00FD2887"/>
    <w:rsid w:val="00FD2B06"/>
    <w:rsid w:val="00FD2D2A"/>
    <w:rsid w:val="00FD406A"/>
    <w:rsid w:val="00FD46AE"/>
    <w:rsid w:val="00FD514A"/>
    <w:rsid w:val="00FD521B"/>
    <w:rsid w:val="00FD5EB9"/>
    <w:rsid w:val="00FD62D1"/>
    <w:rsid w:val="00FD64FC"/>
    <w:rsid w:val="00FD6902"/>
    <w:rsid w:val="00FD6ED0"/>
    <w:rsid w:val="00FD70DF"/>
    <w:rsid w:val="00FD7B1A"/>
    <w:rsid w:val="00FD7D9F"/>
    <w:rsid w:val="00FE02DC"/>
    <w:rsid w:val="00FE0329"/>
    <w:rsid w:val="00FE0B59"/>
    <w:rsid w:val="00FE0EC8"/>
    <w:rsid w:val="00FE134F"/>
    <w:rsid w:val="00FE145B"/>
    <w:rsid w:val="00FE17FA"/>
    <w:rsid w:val="00FE1ABC"/>
    <w:rsid w:val="00FE1B52"/>
    <w:rsid w:val="00FE1CD7"/>
    <w:rsid w:val="00FE20AB"/>
    <w:rsid w:val="00FE2319"/>
    <w:rsid w:val="00FE2526"/>
    <w:rsid w:val="00FE29D1"/>
    <w:rsid w:val="00FE3624"/>
    <w:rsid w:val="00FE3A82"/>
    <w:rsid w:val="00FE3BEF"/>
    <w:rsid w:val="00FE3CE8"/>
    <w:rsid w:val="00FE516B"/>
    <w:rsid w:val="00FE53E2"/>
    <w:rsid w:val="00FE5834"/>
    <w:rsid w:val="00FE59A4"/>
    <w:rsid w:val="00FE5DAD"/>
    <w:rsid w:val="00FE6264"/>
    <w:rsid w:val="00FE6C67"/>
    <w:rsid w:val="00FE6CFB"/>
    <w:rsid w:val="00FE7249"/>
    <w:rsid w:val="00FE729B"/>
    <w:rsid w:val="00FE73D6"/>
    <w:rsid w:val="00FE7AF0"/>
    <w:rsid w:val="00FE7FAD"/>
    <w:rsid w:val="00FF01FC"/>
    <w:rsid w:val="00FF0362"/>
    <w:rsid w:val="00FF05CE"/>
    <w:rsid w:val="00FF0E2D"/>
    <w:rsid w:val="00FF14C6"/>
    <w:rsid w:val="00FF15E8"/>
    <w:rsid w:val="00FF19FE"/>
    <w:rsid w:val="00FF1BC4"/>
    <w:rsid w:val="00FF274E"/>
    <w:rsid w:val="00FF2DE9"/>
    <w:rsid w:val="00FF2EA5"/>
    <w:rsid w:val="00FF3366"/>
    <w:rsid w:val="00FF35AA"/>
    <w:rsid w:val="00FF3993"/>
    <w:rsid w:val="00FF3D70"/>
    <w:rsid w:val="00FF4FFE"/>
    <w:rsid w:val="00FF5126"/>
    <w:rsid w:val="00FF5322"/>
    <w:rsid w:val="00FF5517"/>
    <w:rsid w:val="00FF5806"/>
    <w:rsid w:val="00FF5955"/>
    <w:rsid w:val="00FF5D6D"/>
    <w:rsid w:val="00FF6320"/>
    <w:rsid w:val="00FF6927"/>
    <w:rsid w:val="00FF6D3E"/>
    <w:rsid w:val="00FF7074"/>
    <w:rsid w:val="00FF71D5"/>
    <w:rsid w:val="00FF75CC"/>
    <w:rsid w:val="00FF7FC8"/>
    <w:rsid w:val="011FA269"/>
    <w:rsid w:val="017BFB4D"/>
    <w:rsid w:val="0216A676"/>
    <w:rsid w:val="033EA045"/>
    <w:rsid w:val="0373A293"/>
    <w:rsid w:val="0404EA96"/>
    <w:rsid w:val="06105E3B"/>
    <w:rsid w:val="065D682F"/>
    <w:rsid w:val="06A88541"/>
    <w:rsid w:val="0798F2AE"/>
    <w:rsid w:val="09E3B492"/>
    <w:rsid w:val="0A23B099"/>
    <w:rsid w:val="0AD2BA06"/>
    <w:rsid w:val="0B0D8DC8"/>
    <w:rsid w:val="0B5F6A0F"/>
    <w:rsid w:val="0BBD88BC"/>
    <w:rsid w:val="0E199D61"/>
    <w:rsid w:val="0EF721BC"/>
    <w:rsid w:val="1030C869"/>
    <w:rsid w:val="10FF627B"/>
    <w:rsid w:val="1118CA00"/>
    <w:rsid w:val="1155620F"/>
    <w:rsid w:val="11C0D76E"/>
    <w:rsid w:val="1406C16C"/>
    <w:rsid w:val="14A12A51"/>
    <w:rsid w:val="152F01C2"/>
    <w:rsid w:val="1820A45F"/>
    <w:rsid w:val="1976A65A"/>
    <w:rsid w:val="19F729CE"/>
    <w:rsid w:val="1B120D2D"/>
    <w:rsid w:val="1C861C49"/>
    <w:rsid w:val="1D175287"/>
    <w:rsid w:val="1E315681"/>
    <w:rsid w:val="1E60B024"/>
    <w:rsid w:val="1E9D2215"/>
    <w:rsid w:val="1E9F5A76"/>
    <w:rsid w:val="1E9F8B8B"/>
    <w:rsid w:val="1EC088E9"/>
    <w:rsid w:val="215CDCD3"/>
    <w:rsid w:val="2161089D"/>
    <w:rsid w:val="226F78D2"/>
    <w:rsid w:val="22922010"/>
    <w:rsid w:val="2359A33C"/>
    <w:rsid w:val="249398CC"/>
    <w:rsid w:val="252584FF"/>
    <w:rsid w:val="25CD3903"/>
    <w:rsid w:val="261E3127"/>
    <w:rsid w:val="278506F1"/>
    <w:rsid w:val="27CE008B"/>
    <w:rsid w:val="2803E3D1"/>
    <w:rsid w:val="294EC65B"/>
    <w:rsid w:val="2BDDF2ED"/>
    <w:rsid w:val="2C41343E"/>
    <w:rsid w:val="2CC1DB30"/>
    <w:rsid w:val="2CFE4DC0"/>
    <w:rsid w:val="2D5C803A"/>
    <w:rsid w:val="2E2D6691"/>
    <w:rsid w:val="2F368533"/>
    <w:rsid w:val="2F783177"/>
    <w:rsid w:val="2F8A52D0"/>
    <w:rsid w:val="31D6BE9C"/>
    <w:rsid w:val="33BB7C8B"/>
    <w:rsid w:val="344A87BA"/>
    <w:rsid w:val="367532F0"/>
    <w:rsid w:val="3936FB1C"/>
    <w:rsid w:val="39625854"/>
    <w:rsid w:val="39EAE2ED"/>
    <w:rsid w:val="3B46ABD5"/>
    <w:rsid w:val="3B48A413"/>
    <w:rsid w:val="3BBC9A44"/>
    <w:rsid w:val="3C328142"/>
    <w:rsid w:val="3CE27C36"/>
    <w:rsid w:val="3E2391E2"/>
    <w:rsid w:val="3EA8EC39"/>
    <w:rsid w:val="3F649F76"/>
    <w:rsid w:val="3F737050"/>
    <w:rsid w:val="41840400"/>
    <w:rsid w:val="4188FB8B"/>
    <w:rsid w:val="421CA797"/>
    <w:rsid w:val="4338955D"/>
    <w:rsid w:val="445006D5"/>
    <w:rsid w:val="44EAFE65"/>
    <w:rsid w:val="44ED8E1B"/>
    <w:rsid w:val="4531561A"/>
    <w:rsid w:val="471E07C3"/>
    <w:rsid w:val="4746C1C9"/>
    <w:rsid w:val="47C4FD67"/>
    <w:rsid w:val="49550C6C"/>
    <w:rsid w:val="4B4F783A"/>
    <w:rsid w:val="4C22D9CE"/>
    <w:rsid w:val="4C528AD0"/>
    <w:rsid w:val="4E244051"/>
    <w:rsid w:val="4E41A332"/>
    <w:rsid w:val="4F6F0AF7"/>
    <w:rsid w:val="509EE886"/>
    <w:rsid w:val="51DCC597"/>
    <w:rsid w:val="52655889"/>
    <w:rsid w:val="52A8A3F7"/>
    <w:rsid w:val="52F78D01"/>
    <w:rsid w:val="534AE095"/>
    <w:rsid w:val="53C588F0"/>
    <w:rsid w:val="53DE0CB4"/>
    <w:rsid w:val="565E2F16"/>
    <w:rsid w:val="57CE2E2B"/>
    <w:rsid w:val="57CF5D1B"/>
    <w:rsid w:val="57D785FB"/>
    <w:rsid w:val="58A20CE5"/>
    <w:rsid w:val="59135D87"/>
    <w:rsid w:val="5928A4F2"/>
    <w:rsid w:val="5A399845"/>
    <w:rsid w:val="5A501047"/>
    <w:rsid w:val="5A6A8318"/>
    <w:rsid w:val="5A706A6E"/>
    <w:rsid w:val="5AB1BD9E"/>
    <w:rsid w:val="5B06FDDD"/>
    <w:rsid w:val="5BCE8D0A"/>
    <w:rsid w:val="5BE19B2D"/>
    <w:rsid w:val="5C4AFE49"/>
    <w:rsid w:val="5CD55E20"/>
    <w:rsid w:val="5D87CAF6"/>
    <w:rsid w:val="5DF3F1B9"/>
    <w:rsid w:val="5E2A1E53"/>
    <w:rsid w:val="5ED1A7F8"/>
    <w:rsid w:val="5FF3D685"/>
    <w:rsid w:val="600BD945"/>
    <w:rsid w:val="61D36EE5"/>
    <w:rsid w:val="61EC9742"/>
    <w:rsid w:val="62CAFF0D"/>
    <w:rsid w:val="62F6E52E"/>
    <w:rsid w:val="63A247CE"/>
    <w:rsid w:val="63ECAD12"/>
    <w:rsid w:val="6417EABF"/>
    <w:rsid w:val="64895988"/>
    <w:rsid w:val="64C747A8"/>
    <w:rsid w:val="64EC3667"/>
    <w:rsid w:val="656F5516"/>
    <w:rsid w:val="65F8BCA6"/>
    <w:rsid w:val="66910712"/>
    <w:rsid w:val="66D92B2F"/>
    <w:rsid w:val="671880E5"/>
    <w:rsid w:val="68F37765"/>
    <w:rsid w:val="6AB6A691"/>
    <w:rsid w:val="6B36892C"/>
    <w:rsid w:val="6B6C583E"/>
    <w:rsid w:val="6B74A2F6"/>
    <w:rsid w:val="6BF7BEF7"/>
    <w:rsid w:val="6BFFFF8E"/>
    <w:rsid w:val="6C79E28F"/>
    <w:rsid w:val="6D004896"/>
    <w:rsid w:val="6F1BF9D3"/>
    <w:rsid w:val="70DFF3D6"/>
    <w:rsid w:val="713AA317"/>
    <w:rsid w:val="719450B1"/>
    <w:rsid w:val="719D7923"/>
    <w:rsid w:val="71CAB469"/>
    <w:rsid w:val="71F8311D"/>
    <w:rsid w:val="720E7C68"/>
    <w:rsid w:val="721594B0"/>
    <w:rsid w:val="73E9A87F"/>
    <w:rsid w:val="758578E0"/>
    <w:rsid w:val="77251E12"/>
    <w:rsid w:val="7803D15D"/>
    <w:rsid w:val="7830F00F"/>
    <w:rsid w:val="799A6C89"/>
    <w:rsid w:val="79B0DC95"/>
    <w:rsid w:val="79FC921A"/>
    <w:rsid w:val="7A720FA6"/>
    <w:rsid w:val="7AD8EC92"/>
    <w:rsid w:val="7BC08D4E"/>
    <w:rsid w:val="7BF72E6F"/>
    <w:rsid w:val="7CFD4403"/>
  </w:rsids>
  <m:mathPr>
    <m:mathFont m:val="Cambria Math"/>
    <m:brkBin m:val="before"/>
    <m:brkBinSub m:val="--"/>
    <m:smallFrac m:val="0"/>
    <m:dispDef/>
    <m:lMargin m:val="0"/>
    <m:rMargin m:val="0"/>
    <m:defJc m:val="centerGroup"/>
    <m:wrapIndent m:val="1440"/>
    <m:intLim m:val="subSup"/>
    <m:naryLim m:val="undOvr"/>
  </m:mathPr>
  <w:themeFontLang w:val="pt-PT"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colormru v:ext="edit" colors="#22483f,#c1ddd4,#5da18a,#9dc7b9,#002600,#022c28,#033f39,#044c3b"/>
    </o:shapedefaults>
    <o:shapelayout v:ext="edit">
      <o:idmap v:ext="edit" data="2"/>
    </o:shapelayout>
  </w:shapeDefaults>
  <w:decimalSymbol w:val=","/>
  <w:listSeparator w:val=";"/>
  <w14:docId w14:val="64C45E8E"/>
  <w15:docId w15:val="{E0F610E4-3617-41FB-8772-02A0376CE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PT" w:eastAsia="pt-PT"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8" w:semiHidden="1" w:unhideWhenUsed="1" w:qFormat="1"/>
    <w:lsdException w:name="heading 9" w:semiHidden="1" w:unhideWhenUsed="1" w:qFormat="1"/>
    <w:lsdException w:name="index 1" w:semiHidden="1" w:uiPriority="99"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FollowedHyperlink" w:uiPriority="99"/>
    <w:lsdException w:name="Strong" w:uiPriority="22"/>
    <w:lsdException w:name="Emphasis" w:uiPriority="20"/>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Light" w:uiPriority="40"/>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0736"/>
    <w:pPr>
      <w:spacing w:before="120" w:after="120" w:line="360" w:lineRule="auto"/>
      <w:ind w:firstLine="709"/>
      <w:jc w:val="both"/>
    </w:pPr>
    <w:rPr>
      <w:rFonts w:ascii="Verdana" w:hAnsi="Verdana"/>
      <w:lang w:val="es-ES" w:eastAsia="es-ES"/>
    </w:rPr>
  </w:style>
  <w:style w:type="paragraph" w:styleId="Ttulo1">
    <w:name w:val="heading 1"/>
    <w:basedOn w:val="Normal"/>
    <w:next w:val="Normal"/>
    <w:link w:val="Ttulo1Carter"/>
    <w:uiPriority w:val="9"/>
    <w:qFormat/>
    <w:rsid w:val="00AF3AD0"/>
    <w:pPr>
      <w:keepNext/>
      <w:numPr>
        <w:numId w:val="17"/>
      </w:numPr>
      <w:spacing w:before="480" w:after="360"/>
      <w:ind w:left="709" w:hanging="709"/>
      <w:outlineLvl w:val="0"/>
    </w:pPr>
    <w:rPr>
      <w:rFonts w:asciiTheme="minorHAnsi" w:eastAsia="Arial Unicode MS" w:hAnsiTheme="minorHAnsi" w:cs="Arial"/>
      <w:color w:val="707279"/>
      <w:kern w:val="32"/>
      <w:sz w:val="32"/>
      <w:szCs w:val="24"/>
      <w:lang w:val="pt-PT" w:eastAsia="es-ES_tradnl"/>
    </w:rPr>
  </w:style>
  <w:style w:type="paragraph" w:styleId="Ttulo2">
    <w:name w:val="heading 2"/>
    <w:basedOn w:val="Normal"/>
    <w:next w:val="Normal"/>
    <w:link w:val="Ttulo2Carter"/>
    <w:uiPriority w:val="9"/>
    <w:unhideWhenUsed/>
    <w:qFormat/>
    <w:rsid w:val="00AF3AD0"/>
    <w:pPr>
      <w:numPr>
        <w:ilvl w:val="1"/>
        <w:numId w:val="17"/>
      </w:numPr>
      <w:spacing w:before="480" w:after="240"/>
      <w:ind w:left="1418" w:hanging="718"/>
      <w:outlineLvl w:val="1"/>
    </w:pPr>
    <w:rPr>
      <w:rFonts w:eastAsia="Arial Unicode MS" w:cs="Calibri"/>
      <w:bCs/>
      <w:color w:val="707279"/>
      <w:sz w:val="24"/>
      <w:szCs w:val="24"/>
      <w:lang w:val="pt-PT"/>
    </w:rPr>
  </w:style>
  <w:style w:type="paragraph" w:styleId="Ttulo3">
    <w:name w:val="heading 3"/>
    <w:basedOn w:val="Ttulo2"/>
    <w:next w:val="Normal"/>
    <w:link w:val="Ttulo3Carter"/>
    <w:uiPriority w:val="9"/>
    <w:unhideWhenUsed/>
    <w:qFormat/>
    <w:rsid w:val="00261575"/>
    <w:pPr>
      <w:numPr>
        <w:ilvl w:val="2"/>
      </w:numPr>
      <w:spacing w:after="120"/>
      <w:outlineLvl w:val="2"/>
    </w:pPr>
    <w:rPr>
      <w:color w:val="3CC4A4"/>
      <w:sz w:val="20"/>
      <w:szCs w:val="20"/>
    </w:rPr>
  </w:style>
  <w:style w:type="paragraph" w:styleId="Ttulo4">
    <w:name w:val="heading 4"/>
    <w:basedOn w:val="Ttulo3"/>
    <w:next w:val="Normal"/>
    <w:link w:val="Ttulo4Carter"/>
    <w:uiPriority w:val="9"/>
    <w:unhideWhenUsed/>
    <w:qFormat/>
    <w:rsid w:val="00702943"/>
    <w:pPr>
      <w:numPr>
        <w:ilvl w:val="3"/>
      </w:numPr>
      <w:spacing w:after="360"/>
      <w:ind w:left="2880" w:hanging="360"/>
      <w:outlineLvl w:val="3"/>
    </w:pPr>
    <w:rPr>
      <w:rFonts w:asciiTheme="minorHAnsi" w:eastAsiaTheme="minorHAnsi" w:hAnsiTheme="minorHAnsi" w:cstheme="minorBidi"/>
      <w:i/>
      <w:color w:val="FF3EB5" w:themeColor="accent3"/>
      <w:lang w:eastAsia="en-US"/>
    </w:rPr>
  </w:style>
  <w:style w:type="paragraph" w:styleId="Ttulo5">
    <w:name w:val="heading 5"/>
    <w:basedOn w:val="Normal"/>
    <w:next w:val="Normal"/>
    <w:link w:val="Ttulo5Carter"/>
    <w:semiHidden/>
    <w:unhideWhenUsed/>
    <w:qFormat/>
    <w:rsid w:val="001030F0"/>
    <w:pPr>
      <w:keepNext/>
      <w:keepLines/>
      <w:numPr>
        <w:ilvl w:val="4"/>
        <w:numId w:val="17"/>
      </w:numPr>
      <w:spacing w:before="40" w:after="0"/>
      <w:ind w:left="3600" w:hanging="360"/>
      <w:outlineLvl w:val="4"/>
    </w:pPr>
    <w:rPr>
      <w:rFonts w:asciiTheme="majorHAnsi" w:eastAsiaTheme="majorEastAsia" w:hAnsiTheme="majorHAnsi" w:cstheme="majorBidi"/>
      <w:color w:val="BF004B" w:themeColor="accent1" w:themeShade="BF"/>
    </w:rPr>
  </w:style>
  <w:style w:type="paragraph" w:styleId="Ttulo6">
    <w:name w:val="heading 6"/>
    <w:basedOn w:val="Normal"/>
    <w:next w:val="Normal"/>
    <w:link w:val="Ttulo6Carter"/>
    <w:semiHidden/>
    <w:unhideWhenUsed/>
    <w:qFormat/>
    <w:rsid w:val="001030F0"/>
    <w:pPr>
      <w:keepNext/>
      <w:keepLines/>
      <w:numPr>
        <w:ilvl w:val="5"/>
        <w:numId w:val="17"/>
      </w:numPr>
      <w:spacing w:before="40" w:after="0"/>
      <w:ind w:left="4320" w:hanging="360"/>
      <w:outlineLvl w:val="5"/>
    </w:pPr>
    <w:rPr>
      <w:rFonts w:asciiTheme="majorHAnsi" w:eastAsiaTheme="majorEastAsia" w:hAnsiTheme="majorHAnsi" w:cstheme="majorBidi"/>
      <w:color w:val="7F0032" w:themeColor="accent1" w:themeShade="7F"/>
    </w:rPr>
  </w:style>
  <w:style w:type="paragraph" w:styleId="Ttulo7">
    <w:name w:val="heading 7"/>
    <w:basedOn w:val="Normal"/>
    <w:next w:val="Normal"/>
    <w:rsid w:val="00CE19AF"/>
    <w:pPr>
      <w:numPr>
        <w:ilvl w:val="6"/>
        <w:numId w:val="17"/>
      </w:numPr>
      <w:autoSpaceDE w:val="0"/>
      <w:autoSpaceDN w:val="0"/>
      <w:spacing w:before="240" w:after="60"/>
      <w:ind w:left="5040" w:hanging="360"/>
      <w:outlineLvl w:val="6"/>
    </w:pPr>
    <w:rPr>
      <w:szCs w:val="24"/>
    </w:rPr>
  </w:style>
  <w:style w:type="paragraph" w:styleId="Ttulo8">
    <w:name w:val="heading 8"/>
    <w:basedOn w:val="Normal"/>
    <w:next w:val="Normal"/>
    <w:link w:val="Ttulo8Carter"/>
    <w:semiHidden/>
    <w:unhideWhenUsed/>
    <w:qFormat/>
    <w:rsid w:val="001030F0"/>
    <w:pPr>
      <w:keepNext/>
      <w:keepLines/>
      <w:numPr>
        <w:ilvl w:val="7"/>
        <w:numId w:val="17"/>
      </w:numPr>
      <w:spacing w:before="40" w:after="0"/>
      <w:ind w:left="5760" w:hanging="360"/>
      <w:outlineLvl w:val="7"/>
    </w:pPr>
    <w:rPr>
      <w:rFonts w:asciiTheme="majorHAnsi" w:eastAsiaTheme="majorEastAsia" w:hAnsiTheme="majorHAnsi" w:cstheme="majorBidi"/>
      <w:color w:val="646970" w:themeColor="text1" w:themeTint="D8"/>
      <w:sz w:val="21"/>
      <w:szCs w:val="21"/>
    </w:rPr>
  </w:style>
  <w:style w:type="paragraph" w:styleId="Ttulo9">
    <w:name w:val="heading 9"/>
    <w:basedOn w:val="Normal"/>
    <w:next w:val="Normal"/>
    <w:link w:val="Ttulo9Carter"/>
    <w:semiHidden/>
    <w:unhideWhenUsed/>
    <w:qFormat/>
    <w:rsid w:val="001030F0"/>
    <w:pPr>
      <w:keepNext/>
      <w:keepLines/>
      <w:numPr>
        <w:ilvl w:val="8"/>
        <w:numId w:val="17"/>
      </w:numPr>
      <w:spacing w:before="40" w:after="0"/>
      <w:ind w:left="6480" w:hanging="360"/>
      <w:outlineLvl w:val="8"/>
    </w:pPr>
    <w:rPr>
      <w:rFonts w:asciiTheme="majorHAnsi" w:eastAsiaTheme="majorEastAsia" w:hAnsiTheme="majorHAnsi" w:cstheme="majorBidi"/>
      <w:i/>
      <w:iCs/>
      <w:color w:val="646970" w:themeColor="text1" w:themeTint="D8"/>
      <w:sz w:val="21"/>
      <w:szCs w:val="21"/>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arter"/>
    <w:uiPriority w:val="99"/>
    <w:rsid w:val="00D52AA7"/>
    <w:pPr>
      <w:tabs>
        <w:tab w:val="center" w:pos="4252"/>
        <w:tab w:val="right" w:pos="8504"/>
      </w:tabs>
    </w:pPr>
  </w:style>
  <w:style w:type="paragraph" w:styleId="Rodap">
    <w:name w:val="footer"/>
    <w:basedOn w:val="Normal"/>
    <w:link w:val="RodapCarter"/>
    <w:uiPriority w:val="99"/>
    <w:rsid w:val="00D52AA7"/>
    <w:pPr>
      <w:tabs>
        <w:tab w:val="center" w:pos="4252"/>
        <w:tab w:val="right" w:pos="8504"/>
      </w:tabs>
    </w:pPr>
  </w:style>
  <w:style w:type="paragraph" w:styleId="Corpodetexto2">
    <w:name w:val="Body Text 2"/>
    <w:basedOn w:val="Normal"/>
    <w:next w:val="Normal"/>
    <w:rsid w:val="008E18AB"/>
    <w:pPr>
      <w:autoSpaceDE w:val="0"/>
      <w:autoSpaceDN w:val="0"/>
      <w:adjustRightInd w:val="0"/>
    </w:pPr>
    <w:rPr>
      <w:rFonts w:ascii="Century Gothic" w:hAnsi="Century Gothic"/>
    </w:rPr>
  </w:style>
  <w:style w:type="paragraph" w:customStyle="1" w:styleId="Default">
    <w:name w:val="Default"/>
    <w:rsid w:val="001C7C3B"/>
    <w:pPr>
      <w:autoSpaceDE w:val="0"/>
      <w:autoSpaceDN w:val="0"/>
      <w:adjustRightInd w:val="0"/>
    </w:pPr>
    <w:rPr>
      <w:rFonts w:ascii="Calibri" w:hAnsi="Calibri" w:cs="Calibri"/>
      <w:color w:val="000000"/>
      <w:sz w:val="24"/>
      <w:szCs w:val="24"/>
      <w:lang w:val="es-ES" w:eastAsia="es-ES"/>
    </w:rPr>
  </w:style>
  <w:style w:type="character" w:styleId="Nmerodepgina">
    <w:name w:val="page number"/>
    <w:basedOn w:val="Tipodeletrapredefinidodopargrafo"/>
    <w:rsid w:val="00497FA4"/>
  </w:style>
  <w:style w:type="character" w:customStyle="1" w:styleId="head1">
    <w:name w:val="head1"/>
    <w:rsid w:val="00C4012D"/>
    <w:rPr>
      <w:rFonts w:ascii="Arial" w:hAnsi="Arial" w:cs="Arial" w:hint="default"/>
      <w:b/>
      <w:bCs/>
      <w:color w:val="003399"/>
      <w:sz w:val="24"/>
      <w:szCs w:val="24"/>
    </w:rPr>
  </w:style>
  <w:style w:type="character" w:styleId="Hiperligao">
    <w:name w:val="Hyperlink"/>
    <w:uiPriority w:val="99"/>
    <w:rsid w:val="00446FEB"/>
    <w:rPr>
      <w:color w:val="0000FF"/>
      <w:u w:val="single"/>
    </w:rPr>
  </w:style>
  <w:style w:type="paragraph" w:styleId="Avanodecorpodetexto3">
    <w:name w:val="Body Text Indent 3"/>
    <w:basedOn w:val="Normal"/>
    <w:rsid w:val="00CE19AF"/>
    <w:pPr>
      <w:autoSpaceDE w:val="0"/>
      <w:autoSpaceDN w:val="0"/>
      <w:ind w:left="283"/>
    </w:pPr>
    <w:rPr>
      <w:sz w:val="16"/>
      <w:szCs w:val="16"/>
    </w:rPr>
  </w:style>
  <w:style w:type="paragraph" w:customStyle="1" w:styleId="Organizacin">
    <w:name w:val="Organización"/>
    <w:basedOn w:val="Normal"/>
    <w:next w:val="Normal"/>
    <w:autoRedefine/>
    <w:rsid w:val="00CE19AF"/>
    <w:pPr>
      <w:tabs>
        <w:tab w:val="left" w:pos="2160"/>
        <w:tab w:val="right" w:pos="6465"/>
        <w:tab w:val="left" w:pos="8460"/>
      </w:tabs>
      <w:autoSpaceDE w:val="0"/>
      <w:autoSpaceDN w:val="0"/>
      <w:spacing w:before="220" w:after="40" w:line="220" w:lineRule="atLeast"/>
    </w:pPr>
    <w:rPr>
      <w:rFonts w:ascii="Book Antiqua" w:hAnsi="Book Antiqua" w:cs="Book Antiqua"/>
      <w:szCs w:val="24"/>
    </w:rPr>
  </w:style>
  <w:style w:type="paragraph" w:styleId="ndice1">
    <w:name w:val="toc 1"/>
    <w:basedOn w:val="Normal"/>
    <w:next w:val="Normal"/>
    <w:autoRedefine/>
    <w:uiPriority w:val="39"/>
    <w:rsid w:val="00CF13E7"/>
    <w:pPr>
      <w:tabs>
        <w:tab w:val="left" w:pos="284"/>
        <w:tab w:val="right" w:leader="dot" w:pos="9072"/>
      </w:tabs>
      <w:spacing w:before="0"/>
      <w:ind w:left="284" w:right="565" w:hanging="284"/>
    </w:pPr>
    <w:rPr>
      <w:b/>
      <w:noProof/>
      <w:kern w:val="32"/>
    </w:rPr>
  </w:style>
  <w:style w:type="paragraph" w:styleId="ndice2">
    <w:name w:val="toc 2"/>
    <w:basedOn w:val="Normal"/>
    <w:next w:val="Normal"/>
    <w:autoRedefine/>
    <w:uiPriority w:val="39"/>
    <w:rsid w:val="00A04060"/>
    <w:pPr>
      <w:tabs>
        <w:tab w:val="left" w:pos="709"/>
        <w:tab w:val="right" w:leader="dot" w:pos="10800"/>
      </w:tabs>
      <w:spacing w:before="0"/>
      <w:ind w:left="709" w:right="140" w:hanging="425"/>
    </w:pPr>
    <w:rPr>
      <w:smallCaps/>
    </w:rPr>
  </w:style>
  <w:style w:type="table" w:styleId="TabelacomGrelha">
    <w:name w:val="Table Grid"/>
    <w:basedOn w:val="Tabelanormal"/>
    <w:uiPriority w:val="39"/>
    <w:rsid w:val="005A23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ligaovisitada">
    <w:name w:val="FollowedHyperlink"/>
    <w:uiPriority w:val="99"/>
    <w:rsid w:val="005D561F"/>
    <w:rPr>
      <w:color w:val="800080"/>
      <w:u w:val="single"/>
    </w:rPr>
  </w:style>
  <w:style w:type="character" w:customStyle="1" w:styleId="u">
    <w:name w:val="u"/>
    <w:rsid w:val="003773FB"/>
    <w:rPr>
      <w:rFonts w:ascii="Arial" w:hAnsi="Arial" w:cs="Arial" w:hint="default"/>
      <w:b/>
      <w:bCs/>
      <w:sz w:val="28"/>
      <w:szCs w:val="28"/>
    </w:rPr>
  </w:style>
  <w:style w:type="character" w:styleId="Refdecomentrio">
    <w:name w:val="annotation reference"/>
    <w:rsid w:val="00D0656F"/>
    <w:rPr>
      <w:sz w:val="16"/>
      <w:szCs w:val="16"/>
    </w:rPr>
  </w:style>
  <w:style w:type="paragraph" w:styleId="Textodecomentrio">
    <w:name w:val="annotation text"/>
    <w:basedOn w:val="Normal"/>
    <w:link w:val="TextodecomentrioCarter"/>
    <w:rsid w:val="00D0656F"/>
  </w:style>
  <w:style w:type="character" w:customStyle="1" w:styleId="TextodecomentrioCarter">
    <w:name w:val="Texto de comentário Caráter"/>
    <w:basedOn w:val="Tipodeletrapredefinidodopargrafo"/>
    <w:link w:val="Textodecomentrio"/>
    <w:rsid w:val="00D0656F"/>
  </w:style>
  <w:style w:type="paragraph" w:styleId="Assuntodecomentrio">
    <w:name w:val="annotation subject"/>
    <w:basedOn w:val="Textodecomentrio"/>
    <w:next w:val="Textodecomentrio"/>
    <w:link w:val="AssuntodecomentrioCarter"/>
    <w:rsid w:val="00D0656F"/>
    <w:rPr>
      <w:b/>
      <w:bCs/>
    </w:rPr>
  </w:style>
  <w:style w:type="character" w:customStyle="1" w:styleId="AssuntodecomentrioCarter">
    <w:name w:val="Assunto de comentário Caráter"/>
    <w:link w:val="Assuntodecomentrio"/>
    <w:rsid w:val="00D0656F"/>
    <w:rPr>
      <w:b/>
      <w:bCs/>
    </w:rPr>
  </w:style>
  <w:style w:type="paragraph" w:styleId="Textodebalo">
    <w:name w:val="Balloon Text"/>
    <w:basedOn w:val="Normal"/>
    <w:link w:val="TextodebaloCarter"/>
    <w:rsid w:val="00D0656F"/>
    <w:rPr>
      <w:rFonts w:ascii="Tahoma" w:hAnsi="Tahoma" w:cs="Tahoma"/>
      <w:sz w:val="16"/>
      <w:szCs w:val="16"/>
    </w:rPr>
  </w:style>
  <w:style w:type="character" w:customStyle="1" w:styleId="TextodebaloCarter">
    <w:name w:val="Texto de balão Caráter"/>
    <w:link w:val="Textodebalo"/>
    <w:rsid w:val="00D0656F"/>
    <w:rPr>
      <w:rFonts w:ascii="Tahoma" w:hAnsi="Tahoma" w:cs="Tahoma"/>
      <w:sz w:val="16"/>
      <w:szCs w:val="16"/>
    </w:rPr>
  </w:style>
  <w:style w:type="paragraph" w:styleId="Textodenotaderodap">
    <w:name w:val="footnote text"/>
    <w:basedOn w:val="Normal"/>
    <w:link w:val="TextodenotaderodapCarter"/>
    <w:uiPriority w:val="99"/>
    <w:semiHidden/>
    <w:rsid w:val="00F051E6"/>
  </w:style>
  <w:style w:type="character" w:styleId="Refdenotaderodap">
    <w:name w:val="footnote reference"/>
    <w:aliases w:val="Footnote symbol,Times 10 Point,Exposant 3 Point"/>
    <w:uiPriority w:val="99"/>
    <w:rsid w:val="00F051E6"/>
    <w:rPr>
      <w:vertAlign w:val="superscript"/>
    </w:rPr>
  </w:style>
  <w:style w:type="character" w:styleId="nfase">
    <w:name w:val="Emphasis"/>
    <w:uiPriority w:val="20"/>
    <w:rsid w:val="000A1140"/>
    <w:rPr>
      <w:i/>
      <w:iCs/>
    </w:rPr>
  </w:style>
  <w:style w:type="paragraph" w:styleId="Textodenotadefim">
    <w:name w:val="endnote text"/>
    <w:basedOn w:val="Normal"/>
    <w:link w:val="TextodenotadefimCarter"/>
    <w:rsid w:val="00EF7FA3"/>
  </w:style>
  <w:style w:type="character" w:customStyle="1" w:styleId="TextodenotadefimCarter">
    <w:name w:val="Texto de nota de fim Caráter"/>
    <w:basedOn w:val="Tipodeletrapredefinidodopargrafo"/>
    <w:link w:val="Textodenotadefim"/>
    <w:rsid w:val="00EF7FA3"/>
  </w:style>
  <w:style w:type="character" w:styleId="Refdenotadefim">
    <w:name w:val="endnote reference"/>
    <w:rsid w:val="00EF7FA3"/>
    <w:rPr>
      <w:vertAlign w:val="superscript"/>
    </w:rPr>
  </w:style>
  <w:style w:type="character" w:customStyle="1" w:styleId="Ttulo3Carter">
    <w:name w:val="Título 3 Caráter"/>
    <w:link w:val="Ttulo3"/>
    <w:uiPriority w:val="9"/>
    <w:rsid w:val="00261575"/>
    <w:rPr>
      <w:rFonts w:ascii="Verdana" w:eastAsia="Arial Unicode MS" w:hAnsi="Verdana" w:cs="Calibri"/>
      <w:bCs/>
      <w:color w:val="3CC4A4"/>
      <w:lang w:eastAsia="es-ES"/>
    </w:rPr>
  </w:style>
  <w:style w:type="character" w:customStyle="1" w:styleId="apple-style-span">
    <w:name w:val="apple-style-span"/>
    <w:rsid w:val="00507BBD"/>
  </w:style>
  <w:style w:type="character" w:customStyle="1" w:styleId="headline1">
    <w:name w:val="headline1"/>
    <w:rsid w:val="00AA044F"/>
    <w:rPr>
      <w:rFonts w:ascii="Trebuchet MS" w:hAnsi="Trebuchet MS" w:hint="default"/>
      <w:b/>
      <w:bCs/>
      <w:color w:val="000000"/>
      <w:sz w:val="20"/>
      <w:szCs w:val="20"/>
    </w:rPr>
  </w:style>
  <w:style w:type="character" w:customStyle="1" w:styleId="text1">
    <w:name w:val="text1"/>
    <w:rsid w:val="00AA044F"/>
    <w:rPr>
      <w:rFonts w:ascii="Trebuchet MS" w:hAnsi="Trebuchet MS" w:hint="default"/>
      <w:strike w:val="0"/>
      <w:dstrike w:val="0"/>
      <w:color w:val="000000"/>
      <w:sz w:val="17"/>
      <w:szCs w:val="17"/>
      <w:u w:val="none"/>
      <w:effect w:val="none"/>
    </w:rPr>
  </w:style>
  <w:style w:type="character" w:customStyle="1" w:styleId="Ttulo2Carter">
    <w:name w:val="Título 2 Caráter"/>
    <w:link w:val="Ttulo2"/>
    <w:uiPriority w:val="9"/>
    <w:rsid w:val="00AF3AD0"/>
    <w:rPr>
      <w:rFonts w:ascii="Verdana" w:eastAsia="Arial Unicode MS" w:hAnsi="Verdana" w:cs="Calibri"/>
      <w:bCs/>
      <w:color w:val="707279"/>
      <w:sz w:val="24"/>
      <w:szCs w:val="24"/>
      <w:lang w:eastAsia="es-ES"/>
    </w:rPr>
  </w:style>
  <w:style w:type="paragraph" w:styleId="Legenda">
    <w:name w:val="caption"/>
    <w:basedOn w:val="Normal"/>
    <w:next w:val="Normal"/>
    <w:link w:val="LegendaCarter"/>
    <w:uiPriority w:val="35"/>
    <w:qFormat/>
    <w:rsid w:val="00A60B07"/>
    <w:rPr>
      <w:b/>
      <w:bCs/>
      <w:color w:val="000000"/>
      <w:kern w:val="28"/>
    </w:rPr>
  </w:style>
  <w:style w:type="character" w:customStyle="1" w:styleId="1">
    <w:name w:val="1"/>
    <w:rsid w:val="00A60B07"/>
  </w:style>
  <w:style w:type="paragraph" w:styleId="PargrafodaLista">
    <w:name w:val="List Paragraph"/>
    <w:basedOn w:val="Normal"/>
    <w:link w:val="PargrafodaListaCarter"/>
    <w:uiPriority w:val="34"/>
    <w:qFormat/>
    <w:rsid w:val="00A60B07"/>
    <w:pPr>
      <w:ind w:left="708"/>
    </w:pPr>
    <w:rPr>
      <w:color w:val="000000"/>
      <w:kern w:val="28"/>
    </w:rPr>
  </w:style>
  <w:style w:type="paragraph" w:customStyle="1" w:styleId="printabstract">
    <w:name w:val="printabstract"/>
    <w:basedOn w:val="Normal"/>
    <w:rsid w:val="00DC20EF"/>
    <w:pPr>
      <w:spacing w:before="100" w:beforeAutospacing="1" w:after="100" w:afterAutospacing="1"/>
    </w:pPr>
    <w:rPr>
      <w:szCs w:val="24"/>
    </w:rPr>
  </w:style>
  <w:style w:type="paragraph" w:styleId="NormalWeb">
    <w:name w:val="Normal (Web)"/>
    <w:basedOn w:val="Normal"/>
    <w:uiPriority w:val="99"/>
    <w:unhideWhenUsed/>
    <w:rsid w:val="00365155"/>
    <w:pPr>
      <w:spacing w:before="100" w:beforeAutospacing="1" w:after="100" w:afterAutospacing="1"/>
    </w:pPr>
    <w:rPr>
      <w:szCs w:val="24"/>
    </w:rPr>
  </w:style>
  <w:style w:type="paragraph" w:customStyle="1" w:styleId="xl24">
    <w:name w:val="xl24"/>
    <w:basedOn w:val="Normal"/>
    <w:rsid w:val="00BB5E71"/>
    <w:pPr>
      <w:spacing w:before="100" w:beforeAutospacing="1" w:after="100" w:afterAutospacing="1"/>
    </w:pPr>
    <w:rPr>
      <w:szCs w:val="24"/>
    </w:rPr>
  </w:style>
  <w:style w:type="character" w:customStyle="1" w:styleId="m1">
    <w:name w:val="m1"/>
    <w:rsid w:val="00BB5E71"/>
    <w:rPr>
      <w:b/>
      <w:bCs/>
    </w:rPr>
  </w:style>
  <w:style w:type="character" w:customStyle="1" w:styleId="longtext1">
    <w:name w:val="long_text1"/>
    <w:rsid w:val="00BB5E71"/>
    <w:rPr>
      <w:sz w:val="26"/>
      <w:szCs w:val="26"/>
    </w:rPr>
  </w:style>
  <w:style w:type="character" w:styleId="Forte">
    <w:name w:val="Strong"/>
    <w:uiPriority w:val="22"/>
    <w:rsid w:val="00BB5E71"/>
    <w:rPr>
      <w:b/>
      <w:bCs/>
    </w:rPr>
  </w:style>
  <w:style w:type="paragraph" w:customStyle="1" w:styleId="bodytext">
    <w:name w:val="bodytext"/>
    <w:basedOn w:val="Normal"/>
    <w:rsid w:val="00BB5E71"/>
    <w:rPr>
      <w:rFonts w:ascii="Arial" w:hAnsi="Arial" w:cs="Arial"/>
      <w:color w:val="484848"/>
      <w:sz w:val="18"/>
      <w:szCs w:val="18"/>
    </w:rPr>
  </w:style>
  <w:style w:type="paragraph" w:customStyle="1" w:styleId="style1">
    <w:name w:val="style1"/>
    <w:basedOn w:val="Normal"/>
    <w:rsid w:val="00BB5E71"/>
    <w:pPr>
      <w:spacing w:before="100" w:beforeAutospacing="1" w:after="100" w:afterAutospacing="1"/>
    </w:pPr>
    <w:rPr>
      <w:rFonts w:ascii="Arial" w:hAnsi="Arial" w:cs="Arial"/>
    </w:rPr>
  </w:style>
  <w:style w:type="character" w:customStyle="1" w:styleId="style11">
    <w:name w:val="style11"/>
    <w:rsid w:val="00BB5E71"/>
    <w:rPr>
      <w:rFonts w:ascii="Arial" w:hAnsi="Arial" w:cs="Arial" w:hint="default"/>
      <w:sz w:val="20"/>
      <w:szCs w:val="20"/>
    </w:rPr>
  </w:style>
  <w:style w:type="character" w:customStyle="1" w:styleId="style141">
    <w:name w:val="style141"/>
    <w:rsid w:val="00BB5E71"/>
    <w:rPr>
      <w:rFonts w:ascii="Arial" w:hAnsi="Arial" w:cs="Arial" w:hint="default"/>
      <w:sz w:val="20"/>
      <w:szCs w:val="20"/>
    </w:rPr>
  </w:style>
  <w:style w:type="character" w:customStyle="1" w:styleId="ref">
    <w:name w:val="ref"/>
    <w:rsid w:val="00BB5E71"/>
    <w:rPr>
      <w:rFonts w:ascii="Arial" w:hAnsi="Arial" w:cs="Arial" w:hint="default"/>
      <w:b w:val="0"/>
      <w:bCs w:val="0"/>
      <w:strike w:val="0"/>
      <w:dstrike w:val="0"/>
      <w:vanish w:val="0"/>
      <w:webHidden w:val="0"/>
      <w:u w:val="none"/>
      <w:effect w:val="none"/>
      <w:specVanish w:val="0"/>
    </w:rPr>
  </w:style>
  <w:style w:type="character" w:customStyle="1" w:styleId="c">
    <w:name w:val="c"/>
    <w:rsid w:val="00BB5E71"/>
    <w:rPr>
      <w:rFonts w:ascii="Arial" w:hAnsi="Arial" w:cs="Arial" w:hint="default"/>
      <w:b/>
      <w:bCs/>
      <w:sz w:val="21"/>
      <w:szCs w:val="21"/>
    </w:rPr>
  </w:style>
  <w:style w:type="character" w:customStyle="1" w:styleId="corchete-llamada1">
    <w:name w:val="corchete-llamada1"/>
    <w:rsid w:val="00BB5E71"/>
    <w:rPr>
      <w:vanish/>
      <w:webHidden w:val="0"/>
      <w:specVanish w:val="0"/>
    </w:rPr>
  </w:style>
  <w:style w:type="character" w:customStyle="1" w:styleId="frmdata1">
    <w:name w:val="frmdata1"/>
    <w:rsid w:val="00BB5E71"/>
    <w:rPr>
      <w:rFonts w:ascii="Verdana" w:hAnsi="Verdana" w:hint="default"/>
      <w:color w:val="000000"/>
      <w:sz w:val="17"/>
      <w:szCs w:val="17"/>
    </w:rPr>
  </w:style>
  <w:style w:type="character" w:customStyle="1" w:styleId="e">
    <w:name w:val="e"/>
    <w:rsid w:val="00BB5E71"/>
    <w:rPr>
      <w:b/>
      <w:bCs/>
      <w:i w:val="0"/>
      <w:iCs w:val="0"/>
      <w:strike w:val="0"/>
      <w:dstrike w:val="0"/>
      <w:u w:val="none"/>
      <w:effect w:val="none"/>
    </w:rPr>
  </w:style>
  <w:style w:type="character" w:customStyle="1" w:styleId="apple-converted-space">
    <w:name w:val="apple-converted-space"/>
    <w:rsid w:val="00BB5E71"/>
  </w:style>
  <w:style w:type="character" w:customStyle="1" w:styleId="m">
    <w:name w:val="m"/>
    <w:rsid w:val="00BB5E71"/>
  </w:style>
  <w:style w:type="character" w:customStyle="1" w:styleId="2">
    <w:name w:val="2"/>
    <w:rsid w:val="00BB5E71"/>
  </w:style>
  <w:style w:type="character" w:customStyle="1" w:styleId="dot-d-a">
    <w:name w:val="dot-d-a"/>
    <w:rsid w:val="00BB5E71"/>
  </w:style>
  <w:style w:type="character" w:customStyle="1" w:styleId="Ttulo1Carter">
    <w:name w:val="Título 1 Caráter"/>
    <w:link w:val="Ttulo1"/>
    <w:uiPriority w:val="9"/>
    <w:rsid w:val="00AF3AD0"/>
    <w:rPr>
      <w:rFonts w:asciiTheme="minorHAnsi" w:eastAsia="Arial Unicode MS" w:hAnsiTheme="minorHAnsi" w:cs="Arial"/>
      <w:color w:val="707279"/>
      <w:kern w:val="32"/>
      <w:sz w:val="32"/>
      <w:szCs w:val="24"/>
      <w:lang w:eastAsia="es-ES_tradnl"/>
    </w:rPr>
  </w:style>
  <w:style w:type="character" w:customStyle="1" w:styleId="CabealhoCarter">
    <w:name w:val="Cabeçalho Caráter"/>
    <w:link w:val="Cabealho"/>
    <w:uiPriority w:val="99"/>
    <w:rsid w:val="00BB5E71"/>
  </w:style>
  <w:style w:type="character" w:customStyle="1" w:styleId="hps">
    <w:name w:val="hps"/>
    <w:rsid w:val="00BB5E71"/>
  </w:style>
  <w:style w:type="character" w:customStyle="1" w:styleId="atn">
    <w:name w:val="atn"/>
    <w:rsid w:val="00BB5E71"/>
  </w:style>
  <w:style w:type="character" w:customStyle="1" w:styleId="TextodenotaderodapCarter">
    <w:name w:val="Texto de nota de rodapé Caráter"/>
    <w:link w:val="Textodenotaderodap"/>
    <w:uiPriority w:val="99"/>
    <w:semiHidden/>
    <w:locked/>
    <w:rsid w:val="00614AE3"/>
  </w:style>
  <w:style w:type="character" w:customStyle="1" w:styleId="longtext">
    <w:name w:val="long_text"/>
    <w:rsid w:val="001866E1"/>
  </w:style>
  <w:style w:type="character" w:customStyle="1" w:styleId="shorttext">
    <w:name w:val="short_text"/>
    <w:rsid w:val="00413F56"/>
  </w:style>
  <w:style w:type="character" w:customStyle="1" w:styleId="RodapCarter">
    <w:name w:val="Rodapé Caráter"/>
    <w:link w:val="Rodap"/>
    <w:uiPriority w:val="99"/>
    <w:rsid w:val="00782AF2"/>
  </w:style>
  <w:style w:type="paragraph" w:styleId="ndiceremissivo1">
    <w:name w:val="index 1"/>
    <w:basedOn w:val="Normal"/>
    <w:next w:val="Normal"/>
    <w:autoRedefine/>
    <w:uiPriority w:val="99"/>
    <w:rsid w:val="0077203F"/>
    <w:pPr>
      <w:ind w:left="200" w:hanging="200"/>
    </w:pPr>
  </w:style>
  <w:style w:type="paragraph" w:customStyle="1" w:styleId="novedad">
    <w:name w:val="novedad"/>
    <w:basedOn w:val="Normal"/>
    <w:rsid w:val="00C82915"/>
    <w:pPr>
      <w:spacing w:before="100" w:beforeAutospacing="1" w:after="100" w:afterAutospacing="1"/>
    </w:pPr>
    <w:rPr>
      <w:rFonts w:ascii="Lucida Sans Unicode" w:hAnsi="Lucida Sans Unicode" w:cs="Lucida Sans Unicode"/>
      <w:caps/>
      <w:color w:val="333333"/>
      <w:szCs w:val="24"/>
    </w:rPr>
  </w:style>
  <w:style w:type="paragraph" w:styleId="ndicedeilustraes">
    <w:name w:val="table of figures"/>
    <w:aliases w:val="Table Index"/>
    <w:basedOn w:val="Normal"/>
    <w:next w:val="Normal"/>
    <w:uiPriority w:val="99"/>
    <w:rsid w:val="0077203F"/>
  </w:style>
  <w:style w:type="character" w:customStyle="1" w:styleId="novedad1">
    <w:name w:val="novedad1"/>
    <w:rsid w:val="00C82915"/>
    <w:rPr>
      <w:rFonts w:ascii="Lucida Sans Unicode" w:hAnsi="Lucida Sans Unicode" w:cs="Lucida Sans Unicode" w:hint="default"/>
      <w:b w:val="0"/>
      <w:bCs w:val="0"/>
      <w:caps/>
      <w:color w:val="333333"/>
      <w:sz w:val="24"/>
      <w:szCs w:val="24"/>
    </w:rPr>
  </w:style>
  <w:style w:type="character" w:customStyle="1" w:styleId="textonormal">
    <w:name w:val="textonormal"/>
    <w:rsid w:val="00C82915"/>
  </w:style>
  <w:style w:type="paragraph" w:customStyle="1" w:styleId="maintitle">
    <w:name w:val="maintitle"/>
    <w:basedOn w:val="Normal"/>
    <w:rsid w:val="00C82915"/>
    <w:pPr>
      <w:spacing w:before="100" w:beforeAutospacing="1" w:after="100" w:afterAutospacing="1"/>
    </w:pPr>
    <w:rPr>
      <w:rFonts w:ascii="Comic Sans MS" w:hAnsi="Comic Sans MS"/>
      <w:color w:val="333333"/>
      <w:sz w:val="27"/>
      <w:szCs w:val="27"/>
    </w:rPr>
  </w:style>
  <w:style w:type="character" w:customStyle="1" w:styleId="ff31">
    <w:name w:val="ff31"/>
    <w:rsid w:val="00C82915"/>
    <w:rPr>
      <w:rFonts w:ascii="ff3" w:hAnsi="ff3" w:hint="default"/>
    </w:rPr>
  </w:style>
  <w:style w:type="character" w:customStyle="1" w:styleId="ib1">
    <w:name w:val="ib1"/>
    <w:rsid w:val="00C82915"/>
    <w:rPr>
      <w:spacing w:val="0"/>
    </w:rPr>
  </w:style>
  <w:style w:type="character" w:customStyle="1" w:styleId="dot-d">
    <w:name w:val="dot-d"/>
    <w:rsid w:val="00C82915"/>
    <w:rPr>
      <w:b/>
      <w:bCs/>
    </w:rPr>
  </w:style>
  <w:style w:type="character" w:customStyle="1" w:styleId="gt-icon-text1">
    <w:name w:val="gt-icon-text1"/>
    <w:rsid w:val="00C82915"/>
  </w:style>
  <w:style w:type="paragraph" w:styleId="Textosimples">
    <w:name w:val="Plain Text"/>
    <w:basedOn w:val="Normal"/>
    <w:link w:val="TextosimplesCarter"/>
    <w:uiPriority w:val="99"/>
    <w:unhideWhenUsed/>
    <w:rsid w:val="00C82915"/>
    <w:rPr>
      <w:rFonts w:ascii="Consolas" w:eastAsia="Calibri" w:hAnsi="Consolas" w:cs="Consolas"/>
      <w:sz w:val="21"/>
      <w:szCs w:val="21"/>
      <w:lang w:eastAsia="en-US"/>
    </w:rPr>
  </w:style>
  <w:style w:type="character" w:customStyle="1" w:styleId="TextosimplesCarter">
    <w:name w:val="Texto simples Caráter"/>
    <w:link w:val="Textosimples"/>
    <w:uiPriority w:val="99"/>
    <w:rsid w:val="00C82915"/>
    <w:rPr>
      <w:rFonts w:ascii="Consolas" w:eastAsia="Calibri" w:hAnsi="Consolas" w:cs="Consolas"/>
      <w:sz w:val="21"/>
      <w:szCs w:val="21"/>
      <w:lang w:eastAsia="en-US"/>
    </w:rPr>
  </w:style>
  <w:style w:type="paragraph" w:customStyle="1" w:styleId="xl65">
    <w:name w:val="xl65"/>
    <w:basedOn w:val="Normal"/>
    <w:rsid w:val="00C82915"/>
    <w:pPr>
      <w:spacing w:before="100" w:beforeAutospacing="1" w:after="100" w:afterAutospacing="1"/>
      <w:jc w:val="center"/>
      <w:textAlignment w:val="center"/>
    </w:pPr>
  </w:style>
  <w:style w:type="paragraph" w:customStyle="1" w:styleId="xl66">
    <w:name w:val="xl66"/>
    <w:basedOn w:val="Normal"/>
    <w:rsid w:val="00C82915"/>
    <w:pPr>
      <w:spacing w:before="100" w:beforeAutospacing="1" w:after="100" w:afterAutospacing="1"/>
      <w:textAlignment w:val="center"/>
    </w:pPr>
  </w:style>
  <w:style w:type="character" w:customStyle="1" w:styleId="titulos1">
    <w:name w:val="titulos1"/>
    <w:rsid w:val="00C82915"/>
    <w:rPr>
      <w:rFonts w:ascii="Arial" w:hAnsi="Arial" w:cs="Arial" w:hint="default"/>
      <w:b/>
      <w:bCs/>
      <w:i w:val="0"/>
      <w:iCs w:val="0"/>
      <w:color w:val="344B6B"/>
      <w:sz w:val="18"/>
      <w:szCs w:val="18"/>
    </w:rPr>
  </w:style>
  <w:style w:type="paragraph" w:styleId="SemEspaamento">
    <w:name w:val="No Spacing"/>
    <w:link w:val="SemEspaamentoCarter"/>
    <w:uiPriority w:val="1"/>
    <w:qFormat/>
    <w:rsid w:val="00C82915"/>
    <w:rPr>
      <w:rFonts w:ascii="Calibri" w:eastAsia="Calibri" w:hAnsi="Calibri"/>
      <w:sz w:val="22"/>
      <w:szCs w:val="22"/>
      <w:lang w:val="es-ES" w:eastAsia="en-US"/>
    </w:rPr>
  </w:style>
  <w:style w:type="paragraph" w:customStyle="1" w:styleId="xl67">
    <w:name w:val="xl67"/>
    <w:basedOn w:val="Normal"/>
    <w:rsid w:val="00C82915"/>
    <w:pPr>
      <w:spacing w:before="100" w:beforeAutospacing="1" w:after="100" w:afterAutospacing="1"/>
      <w:jc w:val="center"/>
      <w:textAlignment w:val="center"/>
    </w:pPr>
    <w:rPr>
      <w:szCs w:val="24"/>
    </w:rPr>
  </w:style>
  <w:style w:type="paragraph" w:customStyle="1" w:styleId="xl68">
    <w:name w:val="xl68"/>
    <w:basedOn w:val="Normal"/>
    <w:rsid w:val="00C82915"/>
    <w:pPr>
      <w:spacing w:before="100" w:beforeAutospacing="1" w:after="100" w:afterAutospacing="1"/>
      <w:jc w:val="center"/>
      <w:textAlignment w:val="center"/>
    </w:pPr>
    <w:rPr>
      <w:szCs w:val="24"/>
    </w:rPr>
  </w:style>
  <w:style w:type="paragraph" w:customStyle="1" w:styleId="xl69">
    <w:name w:val="xl69"/>
    <w:basedOn w:val="Normal"/>
    <w:rsid w:val="00C82915"/>
    <w:pPr>
      <w:spacing w:before="100" w:beforeAutospacing="1" w:after="100" w:afterAutospacing="1"/>
      <w:textAlignment w:val="center"/>
    </w:pPr>
    <w:rPr>
      <w:szCs w:val="24"/>
    </w:rPr>
  </w:style>
  <w:style w:type="paragraph" w:customStyle="1" w:styleId="xl70">
    <w:name w:val="xl70"/>
    <w:basedOn w:val="Normal"/>
    <w:rsid w:val="00C82915"/>
    <w:pPr>
      <w:spacing w:before="100" w:beforeAutospacing="1" w:after="100" w:afterAutospacing="1"/>
      <w:jc w:val="center"/>
      <w:textAlignment w:val="center"/>
    </w:pPr>
    <w:rPr>
      <w:color w:val="000000"/>
      <w:szCs w:val="24"/>
    </w:rPr>
  </w:style>
  <w:style w:type="paragraph" w:customStyle="1" w:styleId="xl71">
    <w:name w:val="xl71"/>
    <w:basedOn w:val="Normal"/>
    <w:rsid w:val="00C82915"/>
    <w:pPr>
      <w:spacing w:before="100" w:beforeAutospacing="1" w:after="100" w:afterAutospacing="1"/>
      <w:textAlignment w:val="top"/>
    </w:pPr>
    <w:rPr>
      <w:b/>
      <w:bCs/>
      <w:szCs w:val="24"/>
    </w:rPr>
  </w:style>
  <w:style w:type="paragraph" w:customStyle="1" w:styleId="xl72">
    <w:name w:val="xl72"/>
    <w:basedOn w:val="Normal"/>
    <w:rsid w:val="00C82915"/>
    <w:pPr>
      <w:spacing w:before="100" w:beforeAutospacing="1" w:after="100" w:afterAutospacing="1"/>
      <w:jc w:val="center"/>
      <w:textAlignment w:val="center"/>
    </w:pPr>
    <w:rPr>
      <w:b/>
      <w:bCs/>
      <w:szCs w:val="24"/>
    </w:rPr>
  </w:style>
  <w:style w:type="paragraph" w:customStyle="1" w:styleId="xl63">
    <w:name w:val="xl63"/>
    <w:basedOn w:val="Normal"/>
    <w:rsid w:val="00C82915"/>
    <w:pPr>
      <w:shd w:val="clear" w:color="000000" w:fill="4F6228"/>
      <w:spacing w:before="100" w:beforeAutospacing="1" w:after="100" w:afterAutospacing="1"/>
      <w:jc w:val="center"/>
      <w:textAlignment w:val="center"/>
    </w:pPr>
    <w:rPr>
      <w:b/>
      <w:bCs/>
      <w:color w:val="FFFFFF"/>
      <w:szCs w:val="24"/>
    </w:rPr>
  </w:style>
  <w:style w:type="paragraph" w:customStyle="1" w:styleId="xl64">
    <w:name w:val="xl64"/>
    <w:basedOn w:val="Normal"/>
    <w:rsid w:val="00C82915"/>
    <w:pPr>
      <w:shd w:val="clear" w:color="000000" w:fill="D9D9D9"/>
      <w:spacing w:before="100" w:beforeAutospacing="1" w:after="100" w:afterAutospacing="1"/>
      <w:jc w:val="center"/>
      <w:textAlignment w:val="center"/>
    </w:pPr>
    <w:rPr>
      <w:b/>
      <w:bCs/>
      <w:color w:val="000000"/>
      <w:szCs w:val="24"/>
    </w:rPr>
  </w:style>
  <w:style w:type="table" w:styleId="SombreadoClaro-Cor1">
    <w:name w:val="Light Shading Accent 1"/>
    <w:basedOn w:val="Tabelanormal"/>
    <w:uiPriority w:val="60"/>
    <w:rsid w:val="00C82915"/>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Subttulo">
    <w:name w:val="Subtitle"/>
    <w:basedOn w:val="Normal"/>
    <w:next w:val="Normal"/>
    <w:link w:val="SubttuloCarter"/>
    <w:rsid w:val="00C82915"/>
    <w:pPr>
      <w:spacing w:after="60"/>
      <w:jc w:val="center"/>
      <w:outlineLvl w:val="1"/>
    </w:pPr>
    <w:rPr>
      <w:rFonts w:ascii="Cambria" w:hAnsi="Cambria"/>
      <w:color w:val="000000"/>
      <w:kern w:val="28"/>
      <w:szCs w:val="24"/>
    </w:rPr>
  </w:style>
  <w:style w:type="character" w:customStyle="1" w:styleId="SubttuloCarter">
    <w:name w:val="Subtítulo Caráter"/>
    <w:link w:val="Subttulo"/>
    <w:rsid w:val="00C82915"/>
    <w:rPr>
      <w:rFonts w:ascii="Cambria" w:hAnsi="Cambria"/>
      <w:color w:val="000000"/>
      <w:kern w:val="28"/>
      <w:sz w:val="24"/>
      <w:szCs w:val="24"/>
    </w:rPr>
  </w:style>
  <w:style w:type="table" w:styleId="GrelhaClara-Cor3">
    <w:name w:val="Light Grid Accent 3"/>
    <w:basedOn w:val="Tabelanormal"/>
    <w:uiPriority w:val="62"/>
    <w:rsid w:val="00C82915"/>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libri Light" w:eastAsia="Times New Roman" w:hAnsi="Calibri Light"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character" w:customStyle="1" w:styleId="open">
    <w:name w:val="open"/>
    <w:rsid w:val="00C82915"/>
  </w:style>
  <w:style w:type="paragraph" w:customStyle="1" w:styleId="xl73">
    <w:name w:val="xl73"/>
    <w:basedOn w:val="Normal"/>
    <w:rsid w:val="00C829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Cs w:val="24"/>
    </w:rPr>
  </w:style>
  <w:style w:type="paragraph" w:customStyle="1" w:styleId="xl74">
    <w:name w:val="xl74"/>
    <w:basedOn w:val="Normal"/>
    <w:rsid w:val="00C829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Cs w:val="24"/>
    </w:rPr>
  </w:style>
  <w:style w:type="paragraph" w:customStyle="1" w:styleId="xl75">
    <w:name w:val="xl75"/>
    <w:basedOn w:val="Normal"/>
    <w:rsid w:val="00C82915"/>
    <w:pPr>
      <w:pBdr>
        <w:top w:val="single" w:sz="4" w:space="0" w:color="auto"/>
        <w:left w:val="single" w:sz="4" w:space="0" w:color="auto"/>
        <w:bottom w:val="single" w:sz="4" w:space="0" w:color="auto"/>
      </w:pBdr>
      <w:spacing w:before="100" w:beforeAutospacing="1" w:after="100" w:afterAutospacing="1"/>
      <w:textAlignment w:val="top"/>
    </w:pPr>
    <w:rPr>
      <w:szCs w:val="24"/>
    </w:rPr>
  </w:style>
  <w:style w:type="paragraph" w:customStyle="1" w:styleId="xl76">
    <w:name w:val="xl76"/>
    <w:basedOn w:val="Normal"/>
    <w:rsid w:val="00C82915"/>
    <w:pPr>
      <w:pBdr>
        <w:top w:val="single" w:sz="4" w:space="0" w:color="auto"/>
        <w:right w:val="single" w:sz="4" w:space="0" w:color="auto"/>
      </w:pBdr>
      <w:spacing w:before="100" w:beforeAutospacing="1" w:after="100" w:afterAutospacing="1"/>
      <w:jc w:val="center"/>
      <w:textAlignment w:val="center"/>
    </w:pPr>
    <w:rPr>
      <w:szCs w:val="24"/>
    </w:rPr>
  </w:style>
  <w:style w:type="paragraph" w:customStyle="1" w:styleId="xl77">
    <w:name w:val="xl77"/>
    <w:basedOn w:val="Normal"/>
    <w:rsid w:val="00C82915"/>
    <w:pPr>
      <w:pBdr>
        <w:top w:val="single" w:sz="4" w:space="0" w:color="auto"/>
        <w:left w:val="single" w:sz="4" w:space="0" w:color="auto"/>
        <w:right w:val="single" w:sz="4" w:space="0" w:color="auto"/>
      </w:pBdr>
      <w:spacing w:before="100" w:beforeAutospacing="1" w:after="100" w:afterAutospacing="1"/>
      <w:textAlignment w:val="center"/>
    </w:pPr>
    <w:rPr>
      <w:szCs w:val="24"/>
    </w:rPr>
  </w:style>
  <w:style w:type="paragraph" w:customStyle="1" w:styleId="xl78">
    <w:name w:val="xl78"/>
    <w:basedOn w:val="Normal"/>
    <w:rsid w:val="00C82915"/>
    <w:pPr>
      <w:pBdr>
        <w:top w:val="single" w:sz="4" w:space="0" w:color="auto"/>
        <w:left w:val="single" w:sz="4" w:space="0" w:color="auto"/>
        <w:right w:val="single" w:sz="4" w:space="0" w:color="auto"/>
      </w:pBdr>
      <w:spacing w:before="100" w:beforeAutospacing="1" w:after="100" w:afterAutospacing="1"/>
      <w:textAlignment w:val="top"/>
    </w:pPr>
    <w:rPr>
      <w:szCs w:val="24"/>
    </w:rPr>
  </w:style>
  <w:style w:type="paragraph" w:customStyle="1" w:styleId="xl79">
    <w:name w:val="xl79"/>
    <w:basedOn w:val="Normal"/>
    <w:rsid w:val="00C82915"/>
    <w:pPr>
      <w:pBdr>
        <w:top w:val="single" w:sz="4" w:space="0" w:color="auto"/>
        <w:left w:val="single" w:sz="4" w:space="0" w:color="auto"/>
      </w:pBdr>
      <w:spacing w:before="100" w:beforeAutospacing="1" w:after="100" w:afterAutospacing="1"/>
      <w:textAlignment w:val="top"/>
    </w:pPr>
    <w:rPr>
      <w:szCs w:val="24"/>
    </w:rPr>
  </w:style>
  <w:style w:type="character" w:styleId="TextodoMarcadordePosio">
    <w:name w:val="Placeholder Text"/>
    <w:basedOn w:val="Tipodeletrapredefinidodopargrafo"/>
    <w:uiPriority w:val="99"/>
    <w:semiHidden/>
    <w:rsid w:val="00CA378B"/>
    <w:rPr>
      <w:color w:val="808080"/>
    </w:rPr>
  </w:style>
  <w:style w:type="paragraph" w:styleId="z-Parteinferiordoformulrio">
    <w:name w:val="HTML Bottom of Form"/>
    <w:basedOn w:val="Normal"/>
    <w:next w:val="Normal"/>
    <w:link w:val="z-ParteinferiordoformulrioCarter"/>
    <w:hidden/>
    <w:uiPriority w:val="99"/>
    <w:semiHidden/>
    <w:unhideWhenUsed/>
    <w:rsid w:val="0042390B"/>
    <w:pPr>
      <w:pBdr>
        <w:top w:val="single" w:sz="6" w:space="1" w:color="auto"/>
      </w:pBdr>
      <w:spacing w:line="240" w:lineRule="auto"/>
      <w:jc w:val="center"/>
    </w:pPr>
    <w:rPr>
      <w:rFonts w:ascii="Arial" w:hAnsi="Arial" w:cs="Arial"/>
      <w:vanish/>
      <w:sz w:val="16"/>
      <w:szCs w:val="16"/>
      <w:lang w:val="pt-PT" w:eastAsia="pt-PT"/>
    </w:rPr>
  </w:style>
  <w:style w:type="character" w:customStyle="1" w:styleId="z-ParteinferiordoformulrioCarter">
    <w:name w:val="z-Parte inferior do formulário Caráter"/>
    <w:basedOn w:val="Tipodeletrapredefinidodopargrafo"/>
    <w:link w:val="z-Parteinferiordoformulrio"/>
    <w:uiPriority w:val="99"/>
    <w:semiHidden/>
    <w:rsid w:val="0042390B"/>
    <w:rPr>
      <w:rFonts w:ascii="Arial" w:hAnsi="Arial" w:cs="Arial"/>
      <w:vanish/>
      <w:sz w:val="16"/>
      <w:szCs w:val="16"/>
    </w:rPr>
  </w:style>
  <w:style w:type="paragraph" w:styleId="ndice3">
    <w:name w:val="toc 3"/>
    <w:basedOn w:val="Normal"/>
    <w:next w:val="Normal"/>
    <w:autoRedefine/>
    <w:uiPriority w:val="39"/>
    <w:unhideWhenUsed/>
    <w:rsid w:val="003372D9"/>
    <w:pPr>
      <w:tabs>
        <w:tab w:val="right" w:leader="dot" w:pos="9072"/>
      </w:tabs>
      <w:spacing w:before="0" w:after="60"/>
      <w:ind w:left="1134" w:firstLine="0"/>
    </w:pPr>
  </w:style>
  <w:style w:type="character" w:styleId="MenoNoResolvida">
    <w:name w:val="Unresolved Mention"/>
    <w:basedOn w:val="Tipodeletrapredefinidodopargrafo"/>
    <w:uiPriority w:val="99"/>
    <w:semiHidden/>
    <w:unhideWhenUsed/>
    <w:rsid w:val="00CD0945"/>
    <w:rPr>
      <w:color w:val="605E5C"/>
      <w:shd w:val="clear" w:color="auto" w:fill="E1DFDD"/>
    </w:rPr>
  </w:style>
  <w:style w:type="paragraph" w:styleId="ndice4">
    <w:name w:val="toc 4"/>
    <w:basedOn w:val="Normal"/>
    <w:next w:val="Normal"/>
    <w:autoRedefine/>
    <w:uiPriority w:val="39"/>
    <w:unhideWhenUsed/>
    <w:rsid w:val="0085114E"/>
    <w:pPr>
      <w:spacing w:after="100" w:line="259" w:lineRule="auto"/>
      <w:ind w:left="660"/>
      <w:jc w:val="left"/>
    </w:pPr>
    <w:rPr>
      <w:rFonts w:asciiTheme="minorHAnsi" w:eastAsiaTheme="minorEastAsia" w:hAnsiTheme="minorHAnsi" w:cstheme="minorBidi"/>
      <w:sz w:val="22"/>
      <w:szCs w:val="22"/>
      <w:lang w:val="pt-PT" w:eastAsia="pt-PT"/>
    </w:rPr>
  </w:style>
  <w:style w:type="paragraph" w:styleId="ndice5">
    <w:name w:val="toc 5"/>
    <w:basedOn w:val="Normal"/>
    <w:next w:val="Normal"/>
    <w:autoRedefine/>
    <w:uiPriority w:val="39"/>
    <w:unhideWhenUsed/>
    <w:rsid w:val="0085114E"/>
    <w:pPr>
      <w:spacing w:after="100" w:line="259" w:lineRule="auto"/>
      <w:ind w:left="880"/>
      <w:jc w:val="left"/>
    </w:pPr>
    <w:rPr>
      <w:rFonts w:asciiTheme="minorHAnsi" w:eastAsiaTheme="minorEastAsia" w:hAnsiTheme="minorHAnsi" w:cstheme="minorBidi"/>
      <w:sz w:val="22"/>
      <w:szCs w:val="22"/>
      <w:lang w:val="pt-PT" w:eastAsia="pt-PT"/>
    </w:rPr>
  </w:style>
  <w:style w:type="paragraph" w:styleId="ndice6">
    <w:name w:val="toc 6"/>
    <w:basedOn w:val="Normal"/>
    <w:next w:val="Normal"/>
    <w:autoRedefine/>
    <w:uiPriority w:val="39"/>
    <w:unhideWhenUsed/>
    <w:rsid w:val="0085114E"/>
    <w:pPr>
      <w:spacing w:after="100" w:line="259" w:lineRule="auto"/>
      <w:ind w:left="1100"/>
      <w:jc w:val="left"/>
    </w:pPr>
    <w:rPr>
      <w:rFonts w:asciiTheme="minorHAnsi" w:eastAsiaTheme="minorEastAsia" w:hAnsiTheme="minorHAnsi" w:cstheme="minorBidi"/>
      <w:sz w:val="22"/>
      <w:szCs w:val="22"/>
      <w:lang w:val="pt-PT" w:eastAsia="pt-PT"/>
    </w:rPr>
  </w:style>
  <w:style w:type="paragraph" w:styleId="ndice7">
    <w:name w:val="toc 7"/>
    <w:basedOn w:val="Normal"/>
    <w:next w:val="Normal"/>
    <w:autoRedefine/>
    <w:uiPriority w:val="39"/>
    <w:unhideWhenUsed/>
    <w:rsid w:val="0085114E"/>
    <w:pPr>
      <w:spacing w:after="100" w:line="259" w:lineRule="auto"/>
      <w:ind w:left="1320"/>
      <w:jc w:val="left"/>
    </w:pPr>
    <w:rPr>
      <w:rFonts w:asciiTheme="minorHAnsi" w:eastAsiaTheme="minorEastAsia" w:hAnsiTheme="minorHAnsi" w:cstheme="minorBidi"/>
      <w:sz w:val="22"/>
      <w:szCs w:val="22"/>
      <w:lang w:val="pt-PT" w:eastAsia="pt-PT"/>
    </w:rPr>
  </w:style>
  <w:style w:type="paragraph" w:styleId="ndice8">
    <w:name w:val="toc 8"/>
    <w:basedOn w:val="Normal"/>
    <w:next w:val="Normal"/>
    <w:autoRedefine/>
    <w:uiPriority w:val="39"/>
    <w:unhideWhenUsed/>
    <w:rsid w:val="0085114E"/>
    <w:pPr>
      <w:spacing w:after="100" w:line="259" w:lineRule="auto"/>
      <w:ind w:left="1540"/>
      <w:jc w:val="left"/>
    </w:pPr>
    <w:rPr>
      <w:rFonts w:asciiTheme="minorHAnsi" w:eastAsiaTheme="minorEastAsia" w:hAnsiTheme="minorHAnsi" w:cstheme="minorBidi"/>
      <w:sz w:val="22"/>
      <w:szCs w:val="22"/>
      <w:lang w:val="pt-PT" w:eastAsia="pt-PT"/>
    </w:rPr>
  </w:style>
  <w:style w:type="paragraph" w:styleId="ndice9">
    <w:name w:val="toc 9"/>
    <w:basedOn w:val="Normal"/>
    <w:next w:val="Normal"/>
    <w:autoRedefine/>
    <w:uiPriority w:val="39"/>
    <w:unhideWhenUsed/>
    <w:rsid w:val="0085114E"/>
    <w:pPr>
      <w:spacing w:after="100" w:line="259" w:lineRule="auto"/>
      <w:ind w:left="1760"/>
      <w:jc w:val="left"/>
    </w:pPr>
    <w:rPr>
      <w:rFonts w:asciiTheme="minorHAnsi" w:eastAsiaTheme="minorEastAsia" w:hAnsiTheme="minorHAnsi" w:cstheme="minorBidi"/>
      <w:sz w:val="22"/>
      <w:szCs w:val="22"/>
      <w:lang w:val="pt-PT" w:eastAsia="pt-PT"/>
    </w:rPr>
  </w:style>
  <w:style w:type="table" w:customStyle="1" w:styleId="Tabelacomgrade1">
    <w:name w:val="Tabela com grade1"/>
    <w:basedOn w:val="Tabelanormal"/>
    <w:next w:val="TabelacomGrelha"/>
    <w:uiPriority w:val="39"/>
    <w:rsid w:val="00F03D32"/>
    <w:rPr>
      <w:rFonts w:ascii="Verdana" w:eastAsia="Verdana" w:hAnsi="Verdana"/>
      <w:sz w:val="22"/>
      <w:szCs w:val="22"/>
      <w:lang w:val="es-E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
    <w:name w:val="Tabela com grade2"/>
    <w:basedOn w:val="Tabelanormal"/>
    <w:next w:val="TabelacomGrelha"/>
    <w:uiPriority w:val="39"/>
    <w:rsid w:val="00DA4B5A"/>
    <w:rPr>
      <w:rFonts w:ascii="Verdana" w:eastAsia="Verdana" w:hAnsi="Verdana"/>
      <w:sz w:val="22"/>
      <w:szCs w:val="22"/>
      <w:lang w:val="es-E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deGrade5Escura-nfase21">
    <w:name w:val="Tabela de Grade 5 Escura - Ênfase 21"/>
    <w:basedOn w:val="Tabelanormal"/>
    <w:next w:val="TabeladeGrelha5Escura-Destaque2"/>
    <w:uiPriority w:val="50"/>
    <w:rsid w:val="008043A6"/>
    <w:rPr>
      <w:rFonts w:ascii="Verdana" w:eastAsia="Verdana" w:hAnsi="Verdana"/>
      <w:sz w:val="22"/>
      <w:szCs w:val="22"/>
      <w:lang w:val="es-E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D6FF"/>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33FF"/>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33FF"/>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33FF"/>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33FF"/>
      </w:tcPr>
    </w:tblStylePr>
    <w:tblStylePr w:type="band1Vert">
      <w:tblPr/>
      <w:tcPr>
        <w:shd w:val="clear" w:color="auto" w:fill="99ADFF"/>
      </w:tcPr>
    </w:tblStylePr>
    <w:tblStylePr w:type="band1Horz">
      <w:tblPr/>
      <w:tcPr>
        <w:shd w:val="clear" w:color="auto" w:fill="99ADFF"/>
      </w:tcPr>
    </w:tblStylePr>
  </w:style>
  <w:style w:type="table" w:styleId="TabeladeGrelha5Escura-Destaque2">
    <w:name w:val="Grid Table 5 Dark Accent 2"/>
    <w:basedOn w:val="Tabelanormal"/>
    <w:uiPriority w:val="50"/>
    <w:rsid w:val="008043A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D6FF"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33FF"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33FF"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33FF"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33FF" w:themeFill="accent2"/>
      </w:tcPr>
    </w:tblStylePr>
    <w:tblStylePr w:type="band1Vert">
      <w:tblPr/>
      <w:tcPr>
        <w:shd w:val="clear" w:color="auto" w:fill="99ADFF" w:themeFill="accent2" w:themeFillTint="66"/>
      </w:tcPr>
    </w:tblStylePr>
    <w:tblStylePr w:type="band1Horz">
      <w:tblPr/>
      <w:tcPr>
        <w:shd w:val="clear" w:color="auto" w:fill="99ADFF" w:themeFill="accent2" w:themeFillTint="66"/>
      </w:tcPr>
    </w:tblStylePr>
  </w:style>
  <w:style w:type="character" w:customStyle="1" w:styleId="fontstyle01">
    <w:name w:val="fontstyle01"/>
    <w:basedOn w:val="Tipodeletrapredefinidodopargrafo"/>
    <w:rsid w:val="00965105"/>
    <w:rPr>
      <w:rFonts w:ascii="Verdana" w:hAnsi="Verdana" w:hint="default"/>
      <w:b w:val="0"/>
      <w:bCs w:val="0"/>
      <w:i w:val="0"/>
      <w:iCs w:val="0"/>
      <w:color w:val="000000"/>
      <w:sz w:val="20"/>
      <w:szCs w:val="20"/>
    </w:rPr>
  </w:style>
  <w:style w:type="character" w:customStyle="1" w:styleId="fontstyle21">
    <w:name w:val="fontstyle21"/>
    <w:basedOn w:val="Tipodeletrapredefinidodopargrafo"/>
    <w:rsid w:val="0063319B"/>
    <w:rPr>
      <w:rFonts w:ascii="Calibri" w:hAnsi="Calibri" w:cs="Calibri" w:hint="default"/>
      <w:b w:val="0"/>
      <w:bCs w:val="0"/>
      <w:i w:val="0"/>
      <w:iCs w:val="0"/>
      <w:color w:val="000000"/>
      <w:sz w:val="24"/>
      <w:szCs w:val="24"/>
    </w:rPr>
  </w:style>
  <w:style w:type="character" w:customStyle="1" w:styleId="SemEspaamentoCarter">
    <w:name w:val="Sem Espaçamento Caráter"/>
    <w:basedOn w:val="Tipodeletrapredefinidodopargrafo"/>
    <w:link w:val="SemEspaamento"/>
    <w:uiPriority w:val="1"/>
    <w:locked/>
    <w:rsid w:val="00AF5E9A"/>
    <w:rPr>
      <w:rFonts w:ascii="Calibri" w:eastAsia="Calibri" w:hAnsi="Calibri"/>
      <w:sz w:val="22"/>
      <w:szCs w:val="22"/>
      <w:lang w:val="es-ES" w:eastAsia="en-US"/>
    </w:rPr>
  </w:style>
  <w:style w:type="character" w:customStyle="1" w:styleId="LegendaCarter">
    <w:name w:val="Legenda Caráter"/>
    <w:link w:val="Legenda"/>
    <w:uiPriority w:val="35"/>
    <w:locked/>
    <w:rsid w:val="003054DA"/>
    <w:rPr>
      <w:rFonts w:ascii="Verdana" w:hAnsi="Verdana"/>
      <w:b/>
      <w:bCs/>
      <w:color w:val="000000"/>
      <w:kern w:val="28"/>
      <w:lang w:val="es-ES" w:eastAsia="es-ES"/>
    </w:rPr>
  </w:style>
  <w:style w:type="character" w:customStyle="1" w:styleId="PargrafodaListaCarter">
    <w:name w:val="Parágrafo da Lista Caráter"/>
    <w:basedOn w:val="Tipodeletrapredefinidodopargrafo"/>
    <w:link w:val="PargrafodaLista"/>
    <w:uiPriority w:val="34"/>
    <w:rsid w:val="00777CA1"/>
    <w:rPr>
      <w:rFonts w:ascii="Verdana" w:hAnsi="Verdana"/>
      <w:color w:val="000000"/>
      <w:kern w:val="28"/>
      <w:lang w:val="es-ES" w:eastAsia="es-ES"/>
    </w:rPr>
  </w:style>
  <w:style w:type="character" w:customStyle="1" w:styleId="Ttulo4Carter">
    <w:name w:val="Título 4 Caráter"/>
    <w:basedOn w:val="Tipodeletrapredefinidodopargrafo"/>
    <w:link w:val="Ttulo4"/>
    <w:uiPriority w:val="9"/>
    <w:rsid w:val="00702943"/>
    <w:rPr>
      <w:rFonts w:asciiTheme="minorHAnsi" w:eastAsiaTheme="minorHAnsi" w:hAnsiTheme="minorHAnsi" w:cstheme="minorBidi"/>
      <w:bCs/>
      <w:i/>
      <w:color w:val="FF3EB5" w:themeColor="accent3"/>
      <w:lang w:eastAsia="en-US"/>
    </w:rPr>
  </w:style>
  <w:style w:type="table" w:styleId="TabelacomGrelhaClara">
    <w:name w:val="Grid Table Light"/>
    <w:basedOn w:val="Tabelanormal"/>
    <w:uiPriority w:val="40"/>
    <w:rsid w:val="002C68B2"/>
    <w:rPr>
      <w:rFonts w:asciiTheme="minorHAnsi" w:eastAsiaTheme="minorHAnsi" w:hAnsiTheme="minorHAnsi" w:cstheme="minorBidi"/>
      <w:sz w:val="22"/>
      <w:szCs w:val="22"/>
      <w:lang w:val="es-ES"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Corpodetexto">
    <w:name w:val="Body Text"/>
    <w:basedOn w:val="Normal"/>
    <w:link w:val="CorpodetextoCarter"/>
    <w:semiHidden/>
    <w:unhideWhenUsed/>
    <w:rsid w:val="00D80425"/>
  </w:style>
  <w:style w:type="character" w:customStyle="1" w:styleId="CorpodetextoCarter">
    <w:name w:val="Corpo de texto Caráter"/>
    <w:basedOn w:val="Tipodeletrapredefinidodopargrafo"/>
    <w:link w:val="Corpodetexto"/>
    <w:semiHidden/>
    <w:rsid w:val="00D80425"/>
    <w:rPr>
      <w:rFonts w:ascii="Verdana" w:hAnsi="Verdana"/>
      <w:lang w:val="es-ES" w:eastAsia="es-ES"/>
    </w:rPr>
  </w:style>
  <w:style w:type="table" w:customStyle="1" w:styleId="TabeladeGrelha5Escura-Destaque21">
    <w:name w:val="Tabela de Grelha 5 Escura - Destaque 21"/>
    <w:basedOn w:val="Tabelanormal"/>
    <w:next w:val="TabeladeGrelha5Escura-Destaque2"/>
    <w:uiPriority w:val="50"/>
    <w:rsid w:val="00D80425"/>
    <w:rPr>
      <w:rFonts w:asciiTheme="minorHAnsi" w:eastAsiaTheme="minorHAnsi" w:hAnsiTheme="minorHAnsi" w:cstheme="minorBidi"/>
      <w:sz w:val="22"/>
      <w:szCs w:val="22"/>
      <w:lang w:val="es-E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D6FF"/>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33FF"/>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33FF"/>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33FF"/>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33FF"/>
      </w:tcPr>
    </w:tblStylePr>
    <w:tblStylePr w:type="band1Vert">
      <w:tblPr/>
      <w:tcPr>
        <w:shd w:val="clear" w:color="auto" w:fill="99ADFF"/>
      </w:tcPr>
    </w:tblStylePr>
    <w:tblStylePr w:type="band1Horz">
      <w:tblPr/>
      <w:tcPr>
        <w:shd w:val="clear" w:color="auto" w:fill="99ADFF"/>
      </w:tcPr>
    </w:tblStylePr>
  </w:style>
  <w:style w:type="character" w:customStyle="1" w:styleId="Ttulo5Carter">
    <w:name w:val="Título 5 Caráter"/>
    <w:basedOn w:val="Tipodeletrapredefinidodopargrafo"/>
    <w:link w:val="Ttulo5"/>
    <w:semiHidden/>
    <w:rsid w:val="001030F0"/>
    <w:rPr>
      <w:rFonts w:asciiTheme="majorHAnsi" w:eastAsiaTheme="majorEastAsia" w:hAnsiTheme="majorHAnsi" w:cstheme="majorBidi"/>
      <w:color w:val="BF004B" w:themeColor="accent1" w:themeShade="BF"/>
      <w:lang w:val="es-ES" w:eastAsia="es-ES"/>
    </w:rPr>
  </w:style>
  <w:style w:type="character" w:customStyle="1" w:styleId="Ttulo6Carter">
    <w:name w:val="Título 6 Caráter"/>
    <w:basedOn w:val="Tipodeletrapredefinidodopargrafo"/>
    <w:link w:val="Ttulo6"/>
    <w:semiHidden/>
    <w:rsid w:val="001030F0"/>
    <w:rPr>
      <w:rFonts w:asciiTheme="majorHAnsi" w:eastAsiaTheme="majorEastAsia" w:hAnsiTheme="majorHAnsi" w:cstheme="majorBidi"/>
      <w:color w:val="7F0032" w:themeColor="accent1" w:themeShade="7F"/>
      <w:lang w:val="es-ES" w:eastAsia="es-ES"/>
    </w:rPr>
  </w:style>
  <w:style w:type="character" w:customStyle="1" w:styleId="Ttulo8Carter">
    <w:name w:val="Título 8 Caráter"/>
    <w:basedOn w:val="Tipodeletrapredefinidodopargrafo"/>
    <w:link w:val="Ttulo8"/>
    <w:semiHidden/>
    <w:rsid w:val="001030F0"/>
    <w:rPr>
      <w:rFonts w:asciiTheme="majorHAnsi" w:eastAsiaTheme="majorEastAsia" w:hAnsiTheme="majorHAnsi" w:cstheme="majorBidi"/>
      <w:color w:val="646970" w:themeColor="text1" w:themeTint="D8"/>
      <w:sz w:val="21"/>
      <w:szCs w:val="21"/>
      <w:lang w:val="es-ES" w:eastAsia="es-ES"/>
    </w:rPr>
  </w:style>
  <w:style w:type="character" w:customStyle="1" w:styleId="Ttulo9Carter">
    <w:name w:val="Título 9 Caráter"/>
    <w:basedOn w:val="Tipodeletrapredefinidodopargrafo"/>
    <w:link w:val="Ttulo9"/>
    <w:semiHidden/>
    <w:rsid w:val="001030F0"/>
    <w:rPr>
      <w:rFonts w:asciiTheme="majorHAnsi" w:eastAsiaTheme="majorEastAsia" w:hAnsiTheme="majorHAnsi" w:cstheme="majorBidi"/>
      <w:i/>
      <w:iCs/>
      <w:color w:val="646970" w:themeColor="text1" w:themeTint="D8"/>
      <w:sz w:val="21"/>
      <w:szCs w:val="21"/>
      <w:lang w:val="es-ES" w:eastAsia="es-ES"/>
    </w:rPr>
  </w:style>
  <w:style w:type="table" w:customStyle="1" w:styleId="Tablaconcuadrcula4-nfasis111">
    <w:name w:val="Tabla con cuadrícula 4 - Énfasis 111"/>
    <w:basedOn w:val="Tabelanormal"/>
    <w:uiPriority w:val="49"/>
    <w:rsid w:val="00D90591"/>
    <w:rPr>
      <w:rFonts w:asciiTheme="minorHAnsi" w:eastAsiaTheme="minorHAnsi" w:hAnsiTheme="minorHAnsi" w:cstheme="minorBidi"/>
      <w:sz w:val="22"/>
      <w:szCs w:val="22"/>
      <w:lang w:val="es-ES" w:eastAsia="en-US"/>
    </w:rPr>
    <w:tblPr>
      <w:tblStyleRowBandSize w:val="1"/>
      <w:tblStyleColBandSize w:val="1"/>
      <w:tblBorders>
        <w:top w:val="single" w:sz="4" w:space="0" w:color="FF66A2" w:themeColor="accent1" w:themeTint="99"/>
        <w:left w:val="single" w:sz="4" w:space="0" w:color="FF66A2" w:themeColor="accent1" w:themeTint="99"/>
        <w:bottom w:val="single" w:sz="4" w:space="0" w:color="FF66A2" w:themeColor="accent1" w:themeTint="99"/>
        <w:right w:val="single" w:sz="4" w:space="0" w:color="FF66A2" w:themeColor="accent1" w:themeTint="99"/>
        <w:insideH w:val="single" w:sz="4" w:space="0" w:color="FF66A2" w:themeColor="accent1" w:themeTint="99"/>
        <w:insideV w:val="single" w:sz="4" w:space="0" w:color="FF66A2" w:themeColor="accent1" w:themeTint="99"/>
      </w:tblBorders>
    </w:tblPr>
    <w:tblStylePr w:type="firstRow">
      <w:rPr>
        <w:b/>
        <w:bCs/>
        <w:color w:val="FFFFFF" w:themeColor="background1"/>
      </w:rPr>
      <w:tblPr/>
      <w:tcPr>
        <w:tcBorders>
          <w:top w:val="single" w:sz="4" w:space="0" w:color="FF0166" w:themeColor="accent1"/>
          <w:left w:val="single" w:sz="4" w:space="0" w:color="FF0166" w:themeColor="accent1"/>
          <w:bottom w:val="single" w:sz="4" w:space="0" w:color="FF0166" w:themeColor="accent1"/>
          <w:right w:val="single" w:sz="4" w:space="0" w:color="FF0166" w:themeColor="accent1"/>
          <w:insideH w:val="nil"/>
          <w:insideV w:val="nil"/>
        </w:tcBorders>
        <w:shd w:val="clear" w:color="auto" w:fill="FF0166" w:themeFill="accent1"/>
      </w:tcPr>
    </w:tblStylePr>
    <w:tblStylePr w:type="lastRow">
      <w:rPr>
        <w:b/>
        <w:bCs/>
      </w:rPr>
      <w:tblPr/>
      <w:tcPr>
        <w:tcBorders>
          <w:top w:val="double" w:sz="4" w:space="0" w:color="FF0166" w:themeColor="accent1"/>
        </w:tcBorders>
      </w:tcPr>
    </w:tblStylePr>
    <w:tblStylePr w:type="firstCol">
      <w:rPr>
        <w:b/>
        <w:bCs/>
      </w:rPr>
    </w:tblStylePr>
    <w:tblStylePr w:type="lastCol">
      <w:rPr>
        <w:b/>
        <w:bCs/>
      </w:rPr>
    </w:tblStylePr>
    <w:tblStylePr w:type="band1Vert">
      <w:tblPr/>
      <w:tcPr>
        <w:shd w:val="clear" w:color="auto" w:fill="FFCCE0" w:themeFill="accent1" w:themeFillTint="33"/>
      </w:tcPr>
    </w:tblStylePr>
    <w:tblStylePr w:type="band1Horz">
      <w:tblPr/>
      <w:tcPr>
        <w:shd w:val="clear" w:color="auto" w:fill="FFCCE0" w:themeFill="accent1" w:themeFillTint="33"/>
      </w:tcPr>
    </w:tblStylePr>
  </w:style>
  <w:style w:type="table" w:customStyle="1" w:styleId="Tablaconcuadrcula4-nfasis11">
    <w:name w:val="Tabla con cuadrícula 4 - Énfasis 11"/>
    <w:basedOn w:val="Tabelanormal"/>
    <w:next w:val="TabeladeGrelha4-Destaque1"/>
    <w:uiPriority w:val="49"/>
    <w:rsid w:val="009A0701"/>
    <w:rPr>
      <w:rFonts w:asciiTheme="minorHAnsi" w:eastAsiaTheme="minorHAnsi" w:hAnsiTheme="minorHAnsi" w:cstheme="minorBidi"/>
      <w:sz w:val="22"/>
      <w:szCs w:val="22"/>
      <w:lang w:val="es-ES" w:eastAsia="en-US"/>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TabeladeGrelha4-Destaque1">
    <w:name w:val="Grid Table 4 Accent 1"/>
    <w:basedOn w:val="Tabelanormal"/>
    <w:uiPriority w:val="49"/>
    <w:rsid w:val="009A0701"/>
    <w:tblPr>
      <w:tblStyleRowBandSize w:val="1"/>
      <w:tblStyleColBandSize w:val="1"/>
      <w:tblBorders>
        <w:top w:val="single" w:sz="4" w:space="0" w:color="FF66A2" w:themeColor="accent1" w:themeTint="99"/>
        <w:left w:val="single" w:sz="4" w:space="0" w:color="FF66A2" w:themeColor="accent1" w:themeTint="99"/>
        <w:bottom w:val="single" w:sz="4" w:space="0" w:color="FF66A2" w:themeColor="accent1" w:themeTint="99"/>
        <w:right w:val="single" w:sz="4" w:space="0" w:color="FF66A2" w:themeColor="accent1" w:themeTint="99"/>
        <w:insideH w:val="single" w:sz="4" w:space="0" w:color="FF66A2" w:themeColor="accent1" w:themeTint="99"/>
        <w:insideV w:val="single" w:sz="4" w:space="0" w:color="FF66A2" w:themeColor="accent1" w:themeTint="99"/>
      </w:tblBorders>
    </w:tblPr>
    <w:tblStylePr w:type="firstRow">
      <w:rPr>
        <w:b/>
        <w:bCs/>
        <w:color w:val="FFFFFF" w:themeColor="background1"/>
      </w:rPr>
      <w:tblPr/>
      <w:tcPr>
        <w:tcBorders>
          <w:top w:val="single" w:sz="4" w:space="0" w:color="FF0166" w:themeColor="accent1"/>
          <w:left w:val="single" w:sz="4" w:space="0" w:color="FF0166" w:themeColor="accent1"/>
          <w:bottom w:val="single" w:sz="4" w:space="0" w:color="FF0166" w:themeColor="accent1"/>
          <w:right w:val="single" w:sz="4" w:space="0" w:color="FF0166" w:themeColor="accent1"/>
          <w:insideH w:val="nil"/>
          <w:insideV w:val="nil"/>
        </w:tcBorders>
        <w:shd w:val="clear" w:color="auto" w:fill="FF0166" w:themeFill="accent1"/>
      </w:tcPr>
    </w:tblStylePr>
    <w:tblStylePr w:type="lastRow">
      <w:rPr>
        <w:b/>
        <w:bCs/>
      </w:rPr>
      <w:tblPr/>
      <w:tcPr>
        <w:tcBorders>
          <w:top w:val="double" w:sz="4" w:space="0" w:color="FF0166" w:themeColor="accent1"/>
        </w:tcBorders>
      </w:tcPr>
    </w:tblStylePr>
    <w:tblStylePr w:type="firstCol">
      <w:rPr>
        <w:b/>
        <w:bCs/>
      </w:rPr>
    </w:tblStylePr>
    <w:tblStylePr w:type="lastCol">
      <w:rPr>
        <w:b/>
        <w:bCs/>
      </w:rPr>
    </w:tblStylePr>
    <w:tblStylePr w:type="band1Vert">
      <w:tblPr/>
      <w:tcPr>
        <w:shd w:val="clear" w:color="auto" w:fill="FFCCE0" w:themeFill="accent1" w:themeFillTint="33"/>
      </w:tcPr>
    </w:tblStylePr>
    <w:tblStylePr w:type="band1Horz">
      <w:tblPr/>
      <w:tcPr>
        <w:shd w:val="clear" w:color="auto" w:fill="FFCCE0"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215">
      <w:bodyDiv w:val="1"/>
      <w:marLeft w:val="0"/>
      <w:marRight w:val="0"/>
      <w:marTop w:val="0"/>
      <w:marBottom w:val="0"/>
      <w:divBdr>
        <w:top w:val="none" w:sz="0" w:space="0" w:color="auto"/>
        <w:left w:val="none" w:sz="0" w:space="0" w:color="auto"/>
        <w:bottom w:val="none" w:sz="0" w:space="0" w:color="auto"/>
        <w:right w:val="none" w:sz="0" w:space="0" w:color="auto"/>
      </w:divBdr>
    </w:div>
    <w:div w:id="4599111">
      <w:bodyDiv w:val="1"/>
      <w:marLeft w:val="0"/>
      <w:marRight w:val="0"/>
      <w:marTop w:val="0"/>
      <w:marBottom w:val="0"/>
      <w:divBdr>
        <w:top w:val="none" w:sz="0" w:space="0" w:color="auto"/>
        <w:left w:val="none" w:sz="0" w:space="0" w:color="auto"/>
        <w:bottom w:val="none" w:sz="0" w:space="0" w:color="auto"/>
        <w:right w:val="none" w:sz="0" w:space="0" w:color="auto"/>
      </w:divBdr>
    </w:div>
    <w:div w:id="4720993">
      <w:bodyDiv w:val="1"/>
      <w:marLeft w:val="0"/>
      <w:marRight w:val="0"/>
      <w:marTop w:val="0"/>
      <w:marBottom w:val="0"/>
      <w:divBdr>
        <w:top w:val="none" w:sz="0" w:space="0" w:color="auto"/>
        <w:left w:val="none" w:sz="0" w:space="0" w:color="auto"/>
        <w:bottom w:val="none" w:sz="0" w:space="0" w:color="auto"/>
        <w:right w:val="none" w:sz="0" w:space="0" w:color="auto"/>
      </w:divBdr>
      <w:divsChild>
        <w:div w:id="828909590">
          <w:marLeft w:val="0"/>
          <w:marRight w:val="0"/>
          <w:marTop w:val="0"/>
          <w:marBottom w:val="0"/>
          <w:divBdr>
            <w:top w:val="none" w:sz="0" w:space="0" w:color="auto"/>
            <w:left w:val="none" w:sz="0" w:space="0" w:color="auto"/>
            <w:bottom w:val="none" w:sz="0" w:space="0" w:color="auto"/>
            <w:right w:val="none" w:sz="0" w:space="0" w:color="auto"/>
          </w:divBdr>
          <w:divsChild>
            <w:div w:id="1316033248">
              <w:marLeft w:val="0"/>
              <w:marRight w:val="0"/>
              <w:marTop w:val="0"/>
              <w:marBottom w:val="0"/>
              <w:divBdr>
                <w:top w:val="none" w:sz="0" w:space="0" w:color="auto"/>
                <w:left w:val="none" w:sz="0" w:space="0" w:color="auto"/>
                <w:bottom w:val="none" w:sz="0" w:space="0" w:color="auto"/>
                <w:right w:val="none" w:sz="0" w:space="0" w:color="auto"/>
              </w:divBdr>
            </w:div>
          </w:divsChild>
        </w:div>
        <w:div w:id="1383167027">
          <w:marLeft w:val="0"/>
          <w:marRight w:val="0"/>
          <w:marTop w:val="0"/>
          <w:marBottom w:val="0"/>
          <w:divBdr>
            <w:top w:val="none" w:sz="0" w:space="0" w:color="auto"/>
            <w:left w:val="none" w:sz="0" w:space="0" w:color="auto"/>
            <w:bottom w:val="none" w:sz="0" w:space="0" w:color="auto"/>
            <w:right w:val="none" w:sz="0" w:space="0" w:color="auto"/>
          </w:divBdr>
        </w:div>
      </w:divsChild>
    </w:div>
    <w:div w:id="11229560">
      <w:bodyDiv w:val="1"/>
      <w:marLeft w:val="0"/>
      <w:marRight w:val="0"/>
      <w:marTop w:val="0"/>
      <w:marBottom w:val="0"/>
      <w:divBdr>
        <w:top w:val="none" w:sz="0" w:space="0" w:color="auto"/>
        <w:left w:val="none" w:sz="0" w:space="0" w:color="auto"/>
        <w:bottom w:val="none" w:sz="0" w:space="0" w:color="auto"/>
        <w:right w:val="none" w:sz="0" w:space="0" w:color="auto"/>
      </w:divBdr>
      <w:divsChild>
        <w:div w:id="2125995317">
          <w:marLeft w:val="0"/>
          <w:marRight w:val="0"/>
          <w:marTop w:val="0"/>
          <w:marBottom w:val="0"/>
          <w:divBdr>
            <w:top w:val="none" w:sz="0" w:space="0" w:color="auto"/>
            <w:left w:val="none" w:sz="0" w:space="0" w:color="auto"/>
            <w:bottom w:val="none" w:sz="0" w:space="0" w:color="auto"/>
            <w:right w:val="none" w:sz="0" w:space="0" w:color="auto"/>
          </w:divBdr>
          <w:divsChild>
            <w:div w:id="1761558432">
              <w:marLeft w:val="0"/>
              <w:marRight w:val="0"/>
              <w:marTop w:val="0"/>
              <w:marBottom w:val="0"/>
              <w:divBdr>
                <w:top w:val="none" w:sz="0" w:space="0" w:color="auto"/>
                <w:left w:val="none" w:sz="0" w:space="0" w:color="auto"/>
                <w:bottom w:val="none" w:sz="0" w:space="0" w:color="auto"/>
                <w:right w:val="none" w:sz="0" w:space="0" w:color="auto"/>
              </w:divBdr>
              <w:divsChild>
                <w:div w:id="1852911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20787">
      <w:bodyDiv w:val="1"/>
      <w:marLeft w:val="0"/>
      <w:marRight w:val="0"/>
      <w:marTop w:val="0"/>
      <w:marBottom w:val="0"/>
      <w:divBdr>
        <w:top w:val="none" w:sz="0" w:space="0" w:color="auto"/>
        <w:left w:val="none" w:sz="0" w:space="0" w:color="auto"/>
        <w:bottom w:val="none" w:sz="0" w:space="0" w:color="auto"/>
        <w:right w:val="none" w:sz="0" w:space="0" w:color="auto"/>
      </w:divBdr>
    </w:div>
    <w:div w:id="11880757">
      <w:bodyDiv w:val="1"/>
      <w:marLeft w:val="0"/>
      <w:marRight w:val="0"/>
      <w:marTop w:val="0"/>
      <w:marBottom w:val="0"/>
      <w:divBdr>
        <w:top w:val="none" w:sz="0" w:space="0" w:color="auto"/>
        <w:left w:val="none" w:sz="0" w:space="0" w:color="auto"/>
        <w:bottom w:val="none" w:sz="0" w:space="0" w:color="auto"/>
        <w:right w:val="none" w:sz="0" w:space="0" w:color="auto"/>
      </w:divBdr>
    </w:div>
    <w:div w:id="15549120">
      <w:bodyDiv w:val="1"/>
      <w:marLeft w:val="0"/>
      <w:marRight w:val="0"/>
      <w:marTop w:val="0"/>
      <w:marBottom w:val="0"/>
      <w:divBdr>
        <w:top w:val="none" w:sz="0" w:space="0" w:color="auto"/>
        <w:left w:val="none" w:sz="0" w:space="0" w:color="auto"/>
        <w:bottom w:val="none" w:sz="0" w:space="0" w:color="auto"/>
        <w:right w:val="none" w:sz="0" w:space="0" w:color="auto"/>
      </w:divBdr>
    </w:div>
    <w:div w:id="31073911">
      <w:bodyDiv w:val="1"/>
      <w:marLeft w:val="0"/>
      <w:marRight w:val="0"/>
      <w:marTop w:val="0"/>
      <w:marBottom w:val="0"/>
      <w:divBdr>
        <w:top w:val="none" w:sz="0" w:space="0" w:color="auto"/>
        <w:left w:val="none" w:sz="0" w:space="0" w:color="auto"/>
        <w:bottom w:val="none" w:sz="0" w:space="0" w:color="auto"/>
        <w:right w:val="none" w:sz="0" w:space="0" w:color="auto"/>
      </w:divBdr>
    </w:div>
    <w:div w:id="32121673">
      <w:bodyDiv w:val="1"/>
      <w:marLeft w:val="0"/>
      <w:marRight w:val="0"/>
      <w:marTop w:val="0"/>
      <w:marBottom w:val="0"/>
      <w:divBdr>
        <w:top w:val="none" w:sz="0" w:space="0" w:color="auto"/>
        <w:left w:val="none" w:sz="0" w:space="0" w:color="auto"/>
        <w:bottom w:val="none" w:sz="0" w:space="0" w:color="auto"/>
        <w:right w:val="none" w:sz="0" w:space="0" w:color="auto"/>
      </w:divBdr>
    </w:div>
    <w:div w:id="44113047">
      <w:bodyDiv w:val="1"/>
      <w:marLeft w:val="0"/>
      <w:marRight w:val="0"/>
      <w:marTop w:val="0"/>
      <w:marBottom w:val="0"/>
      <w:divBdr>
        <w:top w:val="none" w:sz="0" w:space="0" w:color="auto"/>
        <w:left w:val="none" w:sz="0" w:space="0" w:color="auto"/>
        <w:bottom w:val="none" w:sz="0" w:space="0" w:color="auto"/>
        <w:right w:val="none" w:sz="0" w:space="0" w:color="auto"/>
      </w:divBdr>
    </w:div>
    <w:div w:id="50151654">
      <w:bodyDiv w:val="1"/>
      <w:marLeft w:val="0"/>
      <w:marRight w:val="0"/>
      <w:marTop w:val="0"/>
      <w:marBottom w:val="0"/>
      <w:divBdr>
        <w:top w:val="none" w:sz="0" w:space="0" w:color="auto"/>
        <w:left w:val="none" w:sz="0" w:space="0" w:color="auto"/>
        <w:bottom w:val="none" w:sz="0" w:space="0" w:color="auto"/>
        <w:right w:val="none" w:sz="0" w:space="0" w:color="auto"/>
      </w:divBdr>
    </w:div>
    <w:div w:id="58094953">
      <w:bodyDiv w:val="1"/>
      <w:marLeft w:val="0"/>
      <w:marRight w:val="0"/>
      <w:marTop w:val="0"/>
      <w:marBottom w:val="0"/>
      <w:divBdr>
        <w:top w:val="none" w:sz="0" w:space="0" w:color="auto"/>
        <w:left w:val="none" w:sz="0" w:space="0" w:color="auto"/>
        <w:bottom w:val="none" w:sz="0" w:space="0" w:color="auto"/>
        <w:right w:val="none" w:sz="0" w:space="0" w:color="auto"/>
      </w:divBdr>
    </w:div>
    <w:div w:id="66925781">
      <w:bodyDiv w:val="1"/>
      <w:marLeft w:val="0"/>
      <w:marRight w:val="0"/>
      <w:marTop w:val="0"/>
      <w:marBottom w:val="0"/>
      <w:divBdr>
        <w:top w:val="none" w:sz="0" w:space="0" w:color="auto"/>
        <w:left w:val="none" w:sz="0" w:space="0" w:color="auto"/>
        <w:bottom w:val="none" w:sz="0" w:space="0" w:color="auto"/>
        <w:right w:val="none" w:sz="0" w:space="0" w:color="auto"/>
      </w:divBdr>
    </w:div>
    <w:div w:id="108593916">
      <w:bodyDiv w:val="1"/>
      <w:marLeft w:val="0"/>
      <w:marRight w:val="0"/>
      <w:marTop w:val="0"/>
      <w:marBottom w:val="0"/>
      <w:divBdr>
        <w:top w:val="none" w:sz="0" w:space="0" w:color="auto"/>
        <w:left w:val="none" w:sz="0" w:space="0" w:color="auto"/>
        <w:bottom w:val="none" w:sz="0" w:space="0" w:color="auto"/>
        <w:right w:val="none" w:sz="0" w:space="0" w:color="auto"/>
      </w:divBdr>
    </w:div>
    <w:div w:id="109477253">
      <w:bodyDiv w:val="1"/>
      <w:marLeft w:val="0"/>
      <w:marRight w:val="0"/>
      <w:marTop w:val="0"/>
      <w:marBottom w:val="0"/>
      <w:divBdr>
        <w:top w:val="none" w:sz="0" w:space="0" w:color="auto"/>
        <w:left w:val="none" w:sz="0" w:space="0" w:color="auto"/>
        <w:bottom w:val="none" w:sz="0" w:space="0" w:color="auto"/>
        <w:right w:val="none" w:sz="0" w:space="0" w:color="auto"/>
      </w:divBdr>
    </w:div>
    <w:div w:id="113863752">
      <w:bodyDiv w:val="1"/>
      <w:marLeft w:val="0"/>
      <w:marRight w:val="0"/>
      <w:marTop w:val="0"/>
      <w:marBottom w:val="0"/>
      <w:divBdr>
        <w:top w:val="none" w:sz="0" w:space="0" w:color="auto"/>
        <w:left w:val="none" w:sz="0" w:space="0" w:color="auto"/>
        <w:bottom w:val="none" w:sz="0" w:space="0" w:color="auto"/>
        <w:right w:val="none" w:sz="0" w:space="0" w:color="auto"/>
      </w:divBdr>
    </w:div>
    <w:div w:id="115415118">
      <w:bodyDiv w:val="1"/>
      <w:marLeft w:val="0"/>
      <w:marRight w:val="0"/>
      <w:marTop w:val="0"/>
      <w:marBottom w:val="0"/>
      <w:divBdr>
        <w:top w:val="none" w:sz="0" w:space="0" w:color="auto"/>
        <w:left w:val="none" w:sz="0" w:space="0" w:color="auto"/>
        <w:bottom w:val="none" w:sz="0" w:space="0" w:color="auto"/>
        <w:right w:val="none" w:sz="0" w:space="0" w:color="auto"/>
      </w:divBdr>
    </w:div>
    <w:div w:id="125315837">
      <w:bodyDiv w:val="1"/>
      <w:marLeft w:val="0"/>
      <w:marRight w:val="0"/>
      <w:marTop w:val="0"/>
      <w:marBottom w:val="0"/>
      <w:divBdr>
        <w:top w:val="none" w:sz="0" w:space="0" w:color="auto"/>
        <w:left w:val="none" w:sz="0" w:space="0" w:color="auto"/>
        <w:bottom w:val="none" w:sz="0" w:space="0" w:color="auto"/>
        <w:right w:val="none" w:sz="0" w:space="0" w:color="auto"/>
      </w:divBdr>
    </w:div>
    <w:div w:id="131682101">
      <w:bodyDiv w:val="1"/>
      <w:marLeft w:val="0"/>
      <w:marRight w:val="0"/>
      <w:marTop w:val="0"/>
      <w:marBottom w:val="0"/>
      <w:divBdr>
        <w:top w:val="none" w:sz="0" w:space="0" w:color="auto"/>
        <w:left w:val="none" w:sz="0" w:space="0" w:color="auto"/>
        <w:bottom w:val="none" w:sz="0" w:space="0" w:color="auto"/>
        <w:right w:val="none" w:sz="0" w:space="0" w:color="auto"/>
      </w:divBdr>
    </w:div>
    <w:div w:id="136993145">
      <w:bodyDiv w:val="1"/>
      <w:marLeft w:val="0"/>
      <w:marRight w:val="0"/>
      <w:marTop w:val="0"/>
      <w:marBottom w:val="0"/>
      <w:divBdr>
        <w:top w:val="none" w:sz="0" w:space="0" w:color="auto"/>
        <w:left w:val="none" w:sz="0" w:space="0" w:color="auto"/>
        <w:bottom w:val="none" w:sz="0" w:space="0" w:color="auto"/>
        <w:right w:val="none" w:sz="0" w:space="0" w:color="auto"/>
      </w:divBdr>
    </w:div>
    <w:div w:id="145054161">
      <w:bodyDiv w:val="1"/>
      <w:marLeft w:val="0"/>
      <w:marRight w:val="0"/>
      <w:marTop w:val="0"/>
      <w:marBottom w:val="0"/>
      <w:divBdr>
        <w:top w:val="none" w:sz="0" w:space="0" w:color="auto"/>
        <w:left w:val="none" w:sz="0" w:space="0" w:color="auto"/>
        <w:bottom w:val="none" w:sz="0" w:space="0" w:color="auto"/>
        <w:right w:val="none" w:sz="0" w:space="0" w:color="auto"/>
      </w:divBdr>
    </w:div>
    <w:div w:id="147284587">
      <w:bodyDiv w:val="1"/>
      <w:marLeft w:val="0"/>
      <w:marRight w:val="0"/>
      <w:marTop w:val="0"/>
      <w:marBottom w:val="0"/>
      <w:divBdr>
        <w:top w:val="none" w:sz="0" w:space="0" w:color="auto"/>
        <w:left w:val="none" w:sz="0" w:space="0" w:color="auto"/>
        <w:bottom w:val="none" w:sz="0" w:space="0" w:color="auto"/>
        <w:right w:val="none" w:sz="0" w:space="0" w:color="auto"/>
      </w:divBdr>
    </w:div>
    <w:div w:id="156045299">
      <w:bodyDiv w:val="1"/>
      <w:marLeft w:val="0"/>
      <w:marRight w:val="0"/>
      <w:marTop w:val="0"/>
      <w:marBottom w:val="0"/>
      <w:divBdr>
        <w:top w:val="none" w:sz="0" w:space="0" w:color="auto"/>
        <w:left w:val="none" w:sz="0" w:space="0" w:color="auto"/>
        <w:bottom w:val="none" w:sz="0" w:space="0" w:color="auto"/>
        <w:right w:val="none" w:sz="0" w:space="0" w:color="auto"/>
      </w:divBdr>
    </w:div>
    <w:div w:id="162209909">
      <w:bodyDiv w:val="1"/>
      <w:marLeft w:val="0"/>
      <w:marRight w:val="0"/>
      <w:marTop w:val="0"/>
      <w:marBottom w:val="0"/>
      <w:divBdr>
        <w:top w:val="none" w:sz="0" w:space="0" w:color="auto"/>
        <w:left w:val="none" w:sz="0" w:space="0" w:color="auto"/>
        <w:bottom w:val="none" w:sz="0" w:space="0" w:color="auto"/>
        <w:right w:val="none" w:sz="0" w:space="0" w:color="auto"/>
      </w:divBdr>
    </w:div>
    <w:div w:id="170148999">
      <w:bodyDiv w:val="1"/>
      <w:marLeft w:val="0"/>
      <w:marRight w:val="0"/>
      <w:marTop w:val="0"/>
      <w:marBottom w:val="0"/>
      <w:divBdr>
        <w:top w:val="none" w:sz="0" w:space="0" w:color="auto"/>
        <w:left w:val="none" w:sz="0" w:space="0" w:color="auto"/>
        <w:bottom w:val="none" w:sz="0" w:space="0" w:color="auto"/>
        <w:right w:val="none" w:sz="0" w:space="0" w:color="auto"/>
      </w:divBdr>
    </w:div>
    <w:div w:id="170411990">
      <w:bodyDiv w:val="1"/>
      <w:marLeft w:val="0"/>
      <w:marRight w:val="0"/>
      <w:marTop w:val="0"/>
      <w:marBottom w:val="0"/>
      <w:divBdr>
        <w:top w:val="none" w:sz="0" w:space="0" w:color="auto"/>
        <w:left w:val="none" w:sz="0" w:space="0" w:color="auto"/>
        <w:bottom w:val="none" w:sz="0" w:space="0" w:color="auto"/>
        <w:right w:val="none" w:sz="0" w:space="0" w:color="auto"/>
      </w:divBdr>
    </w:div>
    <w:div w:id="175656258">
      <w:bodyDiv w:val="1"/>
      <w:marLeft w:val="0"/>
      <w:marRight w:val="0"/>
      <w:marTop w:val="0"/>
      <w:marBottom w:val="0"/>
      <w:divBdr>
        <w:top w:val="none" w:sz="0" w:space="0" w:color="auto"/>
        <w:left w:val="none" w:sz="0" w:space="0" w:color="auto"/>
        <w:bottom w:val="none" w:sz="0" w:space="0" w:color="auto"/>
        <w:right w:val="none" w:sz="0" w:space="0" w:color="auto"/>
      </w:divBdr>
    </w:div>
    <w:div w:id="179927954">
      <w:bodyDiv w:val="1"/>
      <w:marLeft w:val="0"/>
      <w:marRight w:val="0"/>
      <w:marTop w:val="0"/>
      <w:marBottom w:val="0"/>
      <w:divBdr>
        <w:top w:val="none" w:sz="0" w:space="0" w:color="auto"/>
        <w:left w:val="none" w:sz="0" w:space="0" w:color="auto"/>
        <w:bottom w:val="none" w:sz="0" w:space="0" w:color="auto"/>
        <w:right w:val="none" w:sz="0" w:space="0" w:color="auto"/>
      </w:divBdr>
    </w:div>
    <w:div w:id="195388930">
      <w:bodyDiv w:val="1"/>
      <w:marLeft w:val="0"/>
      <w:marRight w:val="0"/>
      <w:marTop w:val="0"/>
      <w:marBottom w:val="0"/>
      <w:divBdr>
        <w:top w:val="none" w:sz="0" w:space="0" w:color="auto"/>
        <w:left w:val="none" w:sz="0" w:space="0" w:color="auto"/>
        <w:bottom w:val="none" w:sz="0" w:space="0" w:color="auto"/>
        <w:right w:val="none" w:sz="0" w:space="0" w:color="auto"/>
      </w:divBdr>
    </w:div>
    <w:div w:id="198010747">
      <w:bodyDiv w:val="1"/>
      <w:marLeft w:val="0"/>
      <w:marRight w:val="0"/>
      <w:marTop w:val="0"/>
      <w:marBottom w:val="0"/>
      <w:divBdr>
        <w:top w:val="none" w:sz="0" w:space="0" w:color="auto"/>
        <w:left w:val="none" w:sz="0" w:space="0" w:color="auto"/>
        <w:bottom w:val="none" w:sz="0" w:space="0" w:color="auto"/>
        <w:right w:val="none" w:sz="0" w:space="0" w:color="auto"/>
      </w:divBdr>
    </w:div>
    <w:div w:id="201721104">
      <w:bodyDiv w:val="1"/>
      <w:marLeft w:val="0"/>
      <w:marRight w:val="0"/>
      <w:marTop w:val="0"/>
      <w:marBottom w:val="0"/>
      <w:divBdr>
        <w:top w:val="none" w:sz="0" w:space="0" w:color="auto"/>
        <w:left w:val="none" w:sz="0" w:space="0" w:color="auto"/>
        <w:bottom w:val="none" w:sz="0" w:space="0" w:color="auto"/>
        <w:right w:val="none" w:sz="0" w:space="0" w:color="auto"/>
      </w:divBdr>
    </w:div>
    <w:div w:id="217741684">
      <w:bodyDiv w:val="1"/>
      <w:marLeft w:val="0"/>
      <w:marRight w:val="0"/>
      <w:marTop w:val="0"/>
      <w:marBottom w:val="0"/>
      <w:divBdr>
        <w:top w:val="none" w:sz="0" w:space="0" w:color="auto"/>
        <w:left w:val="none" w:sz="0" w:space="0" w:color="auto"/>
        <w:bottom w:val="none" w:sz="0" w:space="0" w:color="auto"/>
        <w:right w:val="none" w:sz="0" w:space="0" w:color="auto"/>
      </w:divBdr>
    </w:div>
    <w:div w:id="223444820">
      <w:bodyDiv w:val="1"/>
      <w:marLeft w:val="0"/>
      <w:marRight w:val="0"/>
      <w:marTop w:val="0"/>
      <w:marBottom w:val="0"/>
      <w:divBdr>
        <w:top w:val="none" w:sz="0" w:space="0" w:color="auto"/>
        <w:left w:val="none" w:sz="0" w:space="0" w:color="auto"/>
        <w:bottom w:val="none" w:sz="0" w:space="0" w:color="auto"/>
        <w:right w:val="none" w:sz="0" w:space="0" w:color="auto"/>
      </w:divBdr>
    </w:div>
    <w:div w:id="228931318">
      <w:bodyDiv w:val="1"/>
      <w:marLeft w:val="0"/>
      <w:marRight w:val="0"/>
      <w:marTop w:val="0"/>
      <w:marBottom w:val="0"/>
      <w:divBdr>
        <w:top w:val="none" w:sz="0" w:space="0" w:color="auto"/>
        <w:left w:val="none" w:sz="0" w:space="0" w:color="auto"/>
        <w:bottom w:val="none" w:sz="0" w:space="0" w:color="auto"/>
        <w:right w:val="none" w:sz="0" w:space="0" w:color="auto"/>
      </w:divBdr>
    </w:div>
    <w:div w:id="243030191">
      <w:bodyDiv w:val="1"/>
      <w:marLeft w:val="0"/>
      <w:marRight w:val="0"/>
      <w:marTop w:val="0"/>
      <w:marBottom w:val="0"/>
      <w:divBdr>
        <w:top w:val="none" w:sz="0" w:space="0" w:color="auto"/>
        <w:left w:val="none" w:sz="0" w:space="0" w:color="auto"/>
        <w:bottom w:val="none" w:sz="0" w:space="0" w:color="auto"/>
        <w:right w:val="none" w:sz="0" w:space="0" w:color="auto"/>
      </w:divBdr>
    </w:div>
    <w:div w:id="256059030">
      <w:bodyDiv w:val="1"/>
      <w:marLeft w:val="0"/>
      <w:marRight w:val="0"/>
      <w:marTop w:val="0"/>
      <w:marBottom w:val="0"/>
      <w:divBdr>
        <w:top w:val="none" w:sz="0" w:space="0" w:color="auto"/>
        <w:left w:val="none" w:sz="0" w:space="0" w:color="auto"/>
        <w:bottom w:val="none" w:sz="0" w:space="0" w:color="auto"/>
        <w:right w:val="none" w:sz="0" w:space="0" w:color="auto"/>
      </w:divBdr>
    </w:div>
    <w:div w:id="258146439">
      <w:bodyDiv w:val="1"/>
      <w:marLeft w:val="0"/>
      <w:marRight w:val="0"/>
      <w:marTop w:val="0"/>
      <w:marBottom w:val="0"/>
      <w:divBdr>
        <w:top w:val="none" w:sz="0" w:space="0" w:color="auto"/>
        <w:left w:val="none" w:sz="0" w:space="0" w:color="auto"/>
        <w:bottom w:val="none" w:sz="0" w:space="0" w:color="auto"/>
        <w:right w:val="none" w:sz="0" w:space="0" w:color="auto"/>
      </w:divBdr>
    </w:div>
    <w:div w:id="269703608">
      <w:bodyDiv w:val="1"/>
      <w:marLeft w:val="0"/>
      <w:marRight w:val="0"/>
      <w:marTop w:val="0"/>
      <w:marBottom w:val="0"/>
      <w:divBdr>
        <w:top w:val="none" w:sz="0" w:space="0" w:color="auto"/>
        <w:left w:val="none" w:sz="0" w:space="0" w:color="auto"/>
        <w:bottom w:val="none" w:sz="0" w:space="0" w:color="auto"/>
        <w:right w:val="none" w:sz="0" w:space="0" w:color="auto"/>
      </w:divBdr>
    </w:div>
    <w:div w:id="270475265">
      <w:bodyDiv w:val="1"/>
      <w:marLeft w:val="0"/>
      <w:marRight w:val="0"/>
      <w:marTop w:val="0"/>
      <w:marBottom w:val="0"/>
      <w:divBdr>
        <w:top w:val="none" w:sz="0" w:space="0" w:color="auto"/>
        <w:left w:val="none" w:sz="0" w:space="0" w:color="auto"/>
        <w:bottom w:val="none" w:sz="0" w:space="0" w:color="auto"/>
        <w:right w:val="none" w:sz="0" w:space="0" w:color="auto"/>
      </w:divBdr>
    </w:div>
    <w:div w:id="270938301">
      <w:bodyDiv w:val="1"/>
      <w:marLeft w:val="0"/>
      <w:marRight w:val="0"/>
      <w:marTop w:val="0"/>
      <w:marBottom w:val="0"/>
      <w:divBdr>
        <w:top w:val="none" w:sz="0" w:space="0" w:color="auto"/>
        <w:left w:val="none" w:sz="0" w:space="0" w:color="auto"/>
        <w:bottom w:val="none" w:sz="0" w:space="0" w:color="auto"/>
        <w:right w:val="none" w:sz="0" w:space="0" w:color="auto"/>
      </w:divBdr>
    </w:div>
    <w:div w:id="272785608">
      <w:bodyDiv w:val="1"/>
      <w:marLeft w:val="0"/>
      <w:marRight w:val="0"/>
      <w:marTop w:val="0"/>
      <w:marBottom w:val="0"/>
      <w:divBdr>
        <w:top w:val="none" w:sz="0" w:space="0" w:color="auto"/>
        <w:left w:val="none" w:sz="0" w:space="0" w:color="auto"/>
        <w:bottom w:val="none" w:sz="0" w:space="0" w:color="auto"/>
        <w:right w:val="none" w:sz="0" w:space="0" w:color="auto"/>
      </w:divBdr>
    </w:div>
    <w:div w:id="273901992">
      <w:bodyDiv w:val="1"/>
      <w:marLeft w:val="0"/>
      <w:marRight w:val="0"/>
      <w:marTop w:val="0"/>
      <w:marBottom w:val="0"/>
      <w:divBdr>
        <w:top w:val="none" w:sz="0" w:space="0" w:color="auto"/>
        <w:left w:val="none" w:sz="0" w:space="0" w:color="auto"/>
        <w:bottom w:val="none" w:sz="0" w:space="0" w:color="auto"/>
        <w:right w:val="none" w:sz="0" w:space="0" w:color="auto"/>
      </w:divBdr>
    </w:div>
    <w:div w:id="276956004">
      <w:bodyDiv w:val="1"/>
      <w:marLeft w:val="0"/>
      <w:marRight w:val="0"/>
      <w:marTop w:val="0"/>
      <w:marBottom w:val="0"/>
      <w:divBdr>
        <w:top w:val="none" w:sz="0" w:space="0" w:color="auto"/>
        <w:left w:val="none" w:sz="0" w:space="0" w:color="auto"/>
        <w:bottom w:val="none" w:sz="0" w:space="0" w:color="auto"/>
        <w:right w:val="none" w:sz="0" w:space="0" w:color="auto"/>
      </w:divBdr>
    </w:div>
    <w:div w:id="303437854">
      <w:bodyDiv w:val="1"/>
      <w:marLeft w:val="0"/>
      <w:marRight w:val="0"/>
      <w:marTop w:val="0"/>
      <w:marBottom w:val="0"/>
      <w:divBdr>
        <w:top w:val="none" w:sz="0" w:space="0" w:color="auto"/>
        <w:left w:val="none" w:sz="0" w:space="0" w:color="auto"/>
        <w:bottom w:val="none" w:sz="0" w:space="0" w:color="auto"/>
        <w:right w:val="none" w:sz="0" w:space="0" w:color="auto"/>
      </w:divBdr>
    </w:div>
    <w:div w:id="305203386">
      <w:bodyDiv w:val="1"/>
      <w:marLeft w:val="0"/>
      <w:marRight w:val="0"/>
      <w:marTop w:val="0"/>
      <w:marBottom w:val="0"/>
      <w:divBdr>
        <w:top w:val="none" w:sz="0" w:space="0" w:color="auto"/>
        <w:left w:val="none" w:sz="0" w:space="0" w:color="auto"/>
        <w:bottom w:val="none" w:sz="0" w:space="0" w:color="auto"/>
        <w:right w:val="none" w:sz="0" w:space="0" w:color="auto"/>
      </w:divBdr>
    </w:div>
    <w:div w:id="309528813">
      <w:bodyDiv w:val="1"/>
      <w:marLeft w:val="0"/>
      <w:marRight w:val="0"/>
      <w:marTop w:val="0"/>
      <w:marBottom w:val="0"/>
      <w:divBdr>
        <w:top w:val="none" w:sz="0" w:space="0" w:color="auto"/>
        <w:left w:val="none" w:sz="0" w:space="0" w:color="auto"/>
        <w:bottom w:val="none" w:sz="0" w:space="0" w:color="auto"/>
        <w:right w:val="none" w:sz="0" w:space="0" w:color="auto"/>
      </w:divBdr>
    </w:div>
    <w:div w:id="316804423">
      <w:bodyDiv w:val="1"/>
      <w:marLeft w:val="0"/>
      <w:marRight w:val="0"/>
      <w:marTop w:val="0"/>
      <w:marBottom w:val="0"/>
      <w:divBdr>
        <w:top w:val="none" w:sz="0" w:space="0" w:color="auto"/>
        <w:left w:val="none" w:sz="0" w:space="0" w:color="auto"/>
        <w:bottom w:val="none" w:sz="0" w:space="0" w:color="auto"/>
        <w:right w:val="none" w:sz="0" w:space="0" w:color="auto"/>
      </w:divBdr>
    </w:div>
    <w:div w:id="322776966">
      <w:bodyDiv w:val="1"/>
      <w:marLeft w:val="0"/>
      <w:marRight w:val="0"/>
      <w:marTop w:val="0"/>
      <w:marBottom w:val="0"/>
      <w:divBdr>
        <w:top w:val="none" w:sz="0" w:space="0" w:color="auto"/>
        <w:left w:val="none" w:sz="0" w:space="0" w:color="auto"/>
        <w:bottom w:val="none" w:sz="0" w:space="0" w:color="auto"/>
        <w:right w:val="none" w:sz="0" w:space="0" w:color="auto"/>
      </w:divBdr>
    </w:div>
    <w:div w:id="324864043">
      <w:bodyDiv w:val="1"/>
      <w:marLeft w:val="0"/>
      <w:marRight w:val="0"/>
      <w:marTop w:val="0"/>
      <w:marBottom w:val="0"/>
      <w:divBdr>
        <w:top w:val="none" w:sz="0" w:space="0" w:color="auto"/>
        <w:left w:val="none" w:sz="0" w:space="0" w:color="auto"/>
        <w:bottom w:val="none" w:sz="0" w:space="0" w:color="auto"/>
        <w:right w:val="none" w:sz="0" w:space="0" w:color="auto"/>
      </w:divBdr>
    </w:div>
    <w:div w:id="334387338">
      <w:bodyDiv w:val="1"/>
      <w:marLeft w:val="0"/>
      <w:marRight w:val="0"/>
      <w:marTop w:val="0"/>
      <w:marBottom w:val="0"/>
      <w:divBdr>
        <w:top w:val="none" w:sz="0" w:space="0" w:color="auto"/>
        <w:left w:val="none" w:sz="0" w:space="0" w:color="auto"/>
        <w:bottom w:val="none" w:sz="0" w:space="0" w:color="auto"/>
        <w:right w:val="none" w:sz="0" w:space="0" w:color="auto"/>
      </w:divBdr>
    </w:div>
    <w:div w:id="335890675">
      <w:bodyDiv w:val="1"/>
      <w:marLeft w:val="0"/>
      <w:marRight w:val="0"/>
      <w:marTop w:val="0"/>
      <w:marBottom w:val="0"/>
      <w:divBdr>
        <w:top w:val="none" w:sz="0" w:space="0" w:color="auto"/>
        <w:left w:val="none" w:sz="0" w:space="0" w:color="auto"/>
        <w:bottom w:val="none" w:sz="0" w:space="0" w:color="auto"/>
        <w:right w:val="none" w:sz="0" w:space="0" w:color="auto"/>
      </w:divBdr>
    </w:div>
    <w:div w:id="340402359">
      <w:bodyDiv w:val="1"/>
      <w:marLeft w:val="0"/>
      <w:marRight w:val="0"/>
      <w:marTop w:val="0"/>
      <w:marBottom w:val="0"/>
      <w:divBdr>
        <w:top w:val="none" w:sz="0" w:space="0" w:color="auto"/>
        <w:left w:val="none" w:sz="0" w:space="0" w:color="auto"/>
        <w:bottom w:val="none" w:sz="0" w:space="0" w:color="auto"/>
        <w:right w:val="none" w:sz="0" w:space="0" w:color="auto"/>
      </w:divBdr>
    </w:div>
    <w:div w:id="341322125">
      <w:bodyDiv w:val="1"/>
      <w:marLeft w:val="0"/>
      <w:marRight w:val="0"/>
      <w:marTop w:val="0"/>
      <w:marBottom w:val="0"/>
      <w:divBdr>
        <w:top w:val="none" w:sz="0" w:space="0" w:color="auto"/>
        <w:left w:val="none" w:sz="0" w:space="0" w:color="auto"/>
        <w:bottom w:val="none" w:sz="0" w:space="0" w:color="auto"/>
        <w:right w:val="none" w:sz="0" w:space="0" w:color="auto"/>
      </w:divBdr>
    </w:div>
    <w:div w:id="341705622">
      <w:bodyDiv w:val="1"/>
      <w:marLeft w:val="0"/>
      <w:marRight w:val="0"/>
      <w:marTop w:val="0"/>
      <w:marBottom w:val="0"/>
      <w:divBdr>
        <w:top w:val="none" w:sz="0" w:space="0" w:color="auto"/>
        <w:left w:val="none" w:sz="0" w:space="0" w:color="auto"/>
        <w:bottom w:val="none" w:sz="0" w:space="0" w:color="auto"/>
        <w:right w:val="none" w:sz="0" w:space="0" w:color="auto"/>
      </w:divBdr>
    </w:div>
    <w:div w:id="367341740">
      <w:bodyDiv w:val="1"/>
      <w:marLeft w:val="0"/>
      <w:marRight w:val="0"/>
      <w:marTop w:val="0"/>
      <w:marBottom w:val="0"/>
      <w:divBdr>
        <w:top w:val="none" w:sz="0" w:space="0" w:color="auto"/>
        <w:left w:val="none" w:sz="0" w:space="0" w:color="auto"/>
        <w:bottom w:val="none" w:sz="0" w:space="0" w:color="auto"/>
        <w:right w:val="none" w:sz="0" w:space="0" w:color="auto"/>
      </w:divBdr>
    </w:div>
    <w:div w:id="371614375">
      <w:bodyDiv w:val="1"/>
      <w:marLeft w:val="0"/>
      <w:marRight w:val="0"/>
      <w:marTop w:val="0"/>
      <w:marBottom w:val="0"/>
      <w:divBdr>
        <w:top w:val="none" w:sz="0" w:space="0" w:color="auto"/>
        <w:left w:val="none" w:sz="0" w:space="0" w:color="auto"/>
        <w:bottom w:val="none" w:sz="0" w:space="0" w:color="auto"/>
        <w:right w:val="none" w:sz="0" w:space="0" w:color="auto"/>
      </w:divBdr>
    </w:div>
    <w:div w:id="372928898">
      <w:bodyDiv w:val="1"/>
      <w:marLeft w:val="0"/>
      <w:marRight w:val="0"/>
      <w:marTop w:val="0"/>
      <w:marBottom w:val="0"/>
      <w:divBdr>
        <w:top w:val="none" w:sz="0" w:space="0" w:color="auto"/>
        <w:left w:val="none" w:sz="0" w:space="0" w:color="auto"/>
        <w:bottom w:val="none" w:sz="0" w:space="0" w:color="auto"/>
        <w:right w:val="none" w:sz="0" w:space="0" w:color="auto"/>
      </w:divBdr>
    </w:div>
    <w:div w:id="373507195">
      <w:bodyDiv w:val="1"/>
      <w:marLeft w:val="0"/>
      <w:marRight w:val="0"/>
      <w:marTop w:val="0"/>
      <w:marBottom w:val="0"/>
      <w:divBdr>
        <w:top w:val="none" w:sz="0" w:space="0" w:color="auto"/>
        <w:left w:val="none" w:sz="0" w:space="0" w:color="auto"/>
        <w:bottom w:val="none" w:sz="0" w:space="0" w:color="auto"/>
        <w:right w:val="none" w:sz="0" w:space="0" w:color="auto"/>
      </w:divBdr>
    </w:div>
    <w:div w:id="379792561">
      <w:bodyDiv w:val="1"/>
      <w:marLeft w:val="0"/>
      <w:marRight w:val="0"/>
      <w:marTop w:val="0"/>
      <w:marBottom w:val="0"/>
      <w:divBdr>
        <w:top w:val="none" w:sz="0" w:space="0" w:color="auto"/>
        <w:left w:val="none" w:sz="0" w:space="0" w:color="auto"/>
        <w:bottom w:val="none" w:sz="0" w:space="0" w:color="auto"/>
        <w:right w:val="none" w:sz="0" w:space="0" w:color="auto"/>
      </w:divBdr>
    </w:div>
    <w:div w:id="382026046">
      <w:bodyDiv w:val="1"/>
      <w:marLeft w:val="0"/>
      <w:marRight w:val="0"/>
      <w:marTop w:val="0"/>
      <w:marBottom w:val="0"/>
      <w:divBdr>
        <w:top w:val="none" w:sz="0" w:space="0" w:color="auto"/>
        <w:left w:val="none" w:sz="0" w:space="0" w:color="auto"/>
        <w:bottom w:val="none" w:sz="0" w:space="0" w:color="auto"/>
        <w:right w:val="none" w:sz="0" w:space="0" w:color="auto"/>
      </w:divBdr>
    </w:div>
    <w:div w:id="402023949">
      <w:bodyDiv w:val="1"/>
      <w:marLeft w:val="0"/>
      <w:marRight w:val="0"/>
      <w:marTop w:val="0"/>
      <w:marBottom w:val="0"/>
      <w:divBdr>
        <w:top w:val="none" w:sz="0" w:space="0" w:color="auto"/>
        <w:left w:val="none" w:sz="0" w:space="0" w:color="auto"/>
        <w:bottom w:val="none" w:sz="0" w:space="0" w:color="auto"/>
        <w:right w:val="none" w:sz="0" w:space="0" w:color="auto"/>
      </w:divBdr>
    </w:div>
    <w:div w:id="412237901">
      <w:bodyDiv w:val="1"/>
      <w:marLeft w:val="0"/>
      <w:marRight w:val="0"/>
      <w:marTop w:val="0"/>
      <w:marBottom w:val="0"/>
      <w:divBdr>
        <w:top w:val="none" w:sz="0" w:space="0" w:color="auto"/>
        <w:left w:val="none" w:sz="0" w:space="0" w:color="auto"/>
        <w:bottom w:val="none" w:sz="0" w:space="0" w:color="auto"/>
        <w:right w:val="none" w:sz="0" w:space="0" w:color="auto"/>
      </w:divBdr>
    </w:div>
    <w:div w:id="416176465">
      <w:bodyDiv w:val="1"/>
      <w:marLeft w:val="0"/>
      <w:marRight w:val="0"/>
      <w:marTop w:val="0"/>
      <w:marBottom w:val="0"/>
      <w:divBdr>
        <w:top w:val="none" w:sz="0" w:space="0" w:color="auto"/>
        <w:left w:val="none" w:sz="0" w:space="0" w:color="auto"/>
        <w:bottom w:val="none" w:sz="0" w:space="0" w:color="auto"/>
        <w:right w:val="none" w:sz="0" w:space="0" w:color="auto"/>
      </w:divBdr>
    </w:div>
    <w:div w:id="416488557">
      <w:bodyDiv w:val="1"/>
      <w:marLeft w:val="0"/>
      <w:marRight w:val="0"/>
      <w:marTop w:val="0"/>
      <w:marBottom w:val="0"/>
      <w:divBdr>
        <w:top w:val="none" w:sz="0" w:space="0" w:color="auto"/>
        <w:left w:val="none" w:sz="0" w:space="0" w:color="auto"/>
        <w:bottom w:val="none" w:sz="0" w:space="0" w:color="auto"/>
        <w:right w:val="none" w:sz="0" w:space="0" w:color="auto"/>
      </w:divBdr>
    </w:div>
    <w:div w:id="417139342">
      <w:bodyDiv w:val="1"/>
      <w:marLeft w:val="0"/>
      <w:marRight w:val="0"/>
      <w:marTop w:val="0"/>
      <w:marBottom w:val="0"/>
      <w:divBdr>
        <w:top w:val="none" w:sz="0" w:space="0" w:color="auto"/>
        <w:left w:val="none" w:sz="0" w:space="0" w:color="auto"/>
        <w:bottom w:val="none" w:sz="0" w:space="0" w:color="auto"/>
        <w:right w:val="none" w:sz="0" w:space="0" w:color="auto"/>
      </w:divBdr>
    </w:div>
    <w:div w:id="423116502">
      <w:bodyDiv w:val="1"/>
      <w:marLeft w:val="0"/>
      <w:marRight w:val="0"/>
      <w:marTop w:val="0"/>
      <w:marBottom w:val="0"/>
      <w:divBdr>
        <w:top w:val="none" w:sz="0" w:space="0" w:color="auto"/>
        <w:left w:val="none" w:sz="0" w:space="0" w:color="auto"/>
        <w:bottom w:val="none" w:sz="0" w:space="0" w:color="auto"/>
        <w:right w:val="none" w:sz="0" w:space="0" w:color="auto"/>
      </w:divBdr>
    </w:div>
    <w:div w:id="429862802">
      <w:bodyDiv w:val="1"/>
      <w:marLeft w:val="0"/>
      <w:marRight w:val="0"/>
      <w:marTop w:val="0"/>
      <w:marBottom w:val="0"/>
      <w:divBdr>
        <w:top w:val="none" w:sz="0" w:space="0" w:color="auto"/>
        <w:left w:val="none" w:sz="0" w:space="0" w:color="auto"/>
        <w:bottom w:val="none" w:sz="0" w:space="0" w:color="auto"/>
        <w:right w:val="none" w:sz="0" w:space="0" w:color="auto"/>
      </w:divBdr>
    </w:div>
    <w:div w:id="431362537">
      <w:bodyDiv w:val="1"/>
      <w:marLeft w:val="0"/>
      <w:marRight w:val="0"/>
      <w:marTop w:val="0"/>
      <w:marBottom w:val="0"/>
      <w:divBdr>
        <w:top w:val="none" w:sz="0" w:space="0" w:color="auto"/>
        <w:left w:val="none" w:sz="0" w:space="0" w:color="auto"/>
        <w:bottom w:val="none" w:sz="0" w:space="0" w:color="auto"/>
        <w:right w:val="none" w:sz="0" w:space="0" w:color="auto"/>
      </w:divBdr>
    </w:div>
    <w:div w:id="431517013">
      <w:bodyDiv w:val="1"/>
      <w:marLeft w:val="0"/>
      <w:marRight w:val="0"/>
      <w:marTop w:val="0"/>
      <w:marBottom w:val="0"/>
      <w:divBdr>
        <w:top w:val="none" w:sz="0" w:space="0" w:color="auto"/>
        <w:left w:val="none" w:sz="0" w:space="0" w:color="auto"/>
        <w:bottom w:val="none" w:sz="0" w:space="0" w:color="auto"/>
        <w:right w:val="none" w:sz="0" w:space="0" w:color="auto"/>
      </w:divBdr>
    </w:div>
    <w:div w:id="436602635">
      <w:bodyDiv w:val="1"/>
      <w:marLeft w:val="0"/>
      <w:marRight w:val="0"/>
      <w:marTop w:val="0"/>
      <w:marBottom w:val="0"/>
      <w:divBdr>
        <w:top w:val="none" w:sz="0" w:space="0" w:color="auto"/>
        <w:left w:val="none" w:sz="0" w:space="0" w:color="auto"/>
        <w:bottom w:val="none" w:sz="0" w:space="0" w:color="auto"/>
        <w:right w:val="none" w:sz="0" w:space="0" w:color="auto"/>
      </w:divBdr>
    </w:div>
    <w:div w:id="437799651">
      <w:bodyDiv w:val="1"/>
      <w:marLeft w:val="0"/>
      <w:marRight w:val="0"/>
      <w:marTop w:val="0"/>
      <w:marBottom w:val="0"/>
      <w:divBdr>
        <w:top w:val="none" w:sz="0" w:space="0" w:color="auto"/>
        <w:left w:val="none" w:sz="0" w:space="0" w:color="auto"/>
        <w:bottom w:val="none" w:sz="0" w:space="0" w:color="auto"/>
        <w:right w:val="none" w:sz="0" w:space="0" w:color="auto"/>
      </w:divBdr>
    </w:div>
    <w:div w:id="438718611">
      <w:bodyDiv w:val="1"/>
      <w:marLeft w:val="0"/>
      <w:marRight w:val="0"/>
      <w:marTop w:val="0"/>
      <w:marBottom w:val="0"/>
      <w:divBdr>
        <w:top w:val="none" w:sz="0" w:space="0" w:color="auto"/>
        <w:left w:val="none" w:sz="0" w:space="0" w:color="auto"/>
        <w:bottom w:val="none" w:sz="0" w:space="0" w:color="auto"/>
        <w:right w:val="none" w:sz="0" w:space="0" w:color="auto"/>
      </w:divBdr>
    </w:div>
    <w:div w:id="454981510">
      <w:bodyDiv w:val="1"/>
      <w:marLeft w:val="0"/>
      <w:marRight w:val="0"/>
      <w:marTop w:val="0"/>
      <w:marBottom w:val="0"/>
      <w:divBdr>
        <w:top w:val="none" w:sz="0" w:space="0" w:color="auto"/>
        <w:left w:val="none" w:sz="0" w:space="0" w:color="auto"/>
        <w:bottom w:val="none" w:sz="0" w:space="0" w:color="auto"/>
        <w:right w:val="none" w:sz="0" w:space="0" w:color="auto"/>
      </w:divBdr>
    </w:div>
    <w:div w:id="457846573">
      <w:bodyDiv w:val="1"/>
      <w:marLeft w:val="0"/>
      <w:marRight w:val="0"/>
      <w:marTop w:val="0"/>
      <w:marBottom w:val="0"/>
      <w:divBdr>
        <w:top w:val="none" w:sz="0" w:space="0" w:color="auto"/>
        <w:left w:val="none" w:sz="0" w:space="0" w:color="auto"/>
        <w:bottom w:val="none" w:sz="0" w:space="0" w:color="auto"/>
        <w:right w:val="none" w:sz="0" w:space="0" w:color="auto"/>
      </w:divBdr>
    </w:div>
    <w:div w:id="461340214">
      <w:bodyDiv w:val="1"/>
      <w:marLeft w:val="0"/>
      <w:marRight w:val="0"/>
      <w:marTop w:val="0"/>
      <w:marBottom w:val="0"/>
      <w:divBdr>
        <w:top w:val="none" w:sz="0" w:space="0" w:color="auto"/>
        <w:left w:val="none" w:sz="0" w:space="0" w:color="auto"/>
        <w:bottom w:val="none" w:sz="0" w:space="0" w:color="auto"/>
        <w:right w:val="none" w:sz="0" w:space="0" w:color="auto"/>
      </w:divBdr>
    </w:div>
    <w:div w:id="470755202">
      <w:bodyDiv w:val="1"/>
      <w:marLeft w:val="0"/>
      <w:marRight w:val="0"/>
      <w:marTop w:val="0"/>
      <w:marBottom w:val="0"/>
      <w:divBdr>
        <w:top w:val="none" w:sz="0" w:space="0" w:color="auto"/>
        <w:left w:val="none" w:sz="0" w:space="0" w:color="auto"/>
        <w:bottom w:val="none" w:sz="0" w:space="0" w:color="auto"/>
        <w:right w:val="none" w:sz="0" w:space="0" w:color="auto"/>
      </w:divBdr>
    </w:div>
    <w:div w:id="472021962">
      <w:bodyDiv w:val="1"/>
      <w:marLeft w:val="0"/>
      <w:marRight w:val="0"/>
      <w:marTop w:val="0"/>
      <w:marBottom w:val="0"/>
      <w:divBdr>
        <w:top w:val="none" w:sz="0" w:space="0" w:color="auto"/>
        <w:left w:val="none" w:sz="0" w:space="0" w:color="auto"/>
        <w:bottom w:val="none" w:sz="0" w:space="0" w:color="auto"/>
        <w:right w:val="none" w:sz="0" w:space="0" w:color="auto"/>
      </w:divBdr>
    </w:div>
    <w:div w:id="475993219">
      <w:bodyDiv w:val="1"/>
      <w:marLeft w:val="0"/>
      <w:marRight w:val="0"/>
      <w:marTop w:val="0"/>
      <w:marBottom w:val="0"/>
      <w:divBdr>
        <w:top w:val="none" w:sz="0" w:space="0" w:color="auto"/>
        <w:left w:val="none" w:sz="0" w:space="0" w:color="auto"/>
        <w:bottom w:val="none" w:sz="0" w:space="0" w:color="auto"/>
        <w:right w:val="none" w:sz="0" w:space="0" w:color="auto"/>
      </w:divBdr>
    </w:div>
    <w:div w:id="483205818">
      <w:bodyDiv w:val="1"/>
      <w:marLeft w:val="0"/>
      <w:marRight w:val="0"/>
      <w:marTop w:val="0"/>
      <w:marBottom w:val="0"/>
      <w:divBdr>
        <w:top w:val="none" w:sz="0" w:space="0" w:color="auto"/>
        <w:left w:val="none" w:sz="0" w:space="0" w:color="auto"/>
        <w:bottom w:val="none" w:sz="0" w:space="0" w:color="auto"/>
        <w:right w:val="none" w:sz="0" w:space="0" w:color="auto"/>
      </w:divBdr>
    </w:div>
    <w:div w:id="490293384">
      <w:bodyDiv w:val="1"/>
      <w:marLeft w:val="0"/>
      <w:marRight w:val="0"/>
      <w:marTop w:val="0"/>
      <w:marBottom w:val="0"/>
      <w:divBdr>
        <w:top w:val="none" w:sz="0" w:space="0" w:color="auto"/>
        <w:left w:val="none" w:sz="0" w:space="0" w:color="auto"/>
        <w:bottom w:val="none" w:sz="0" w:space="0" w:color="auto"/>
        <w:right w:val="none" w:sz="0" w:space="0" w:color="auto"/>
      </w:divBdr>
    </w:div>
    <w:div w:id="504637834">
      <w:bodyDiv w:val="1"/>
      <w:marLeft w:val="0"/>
      <w:marRight w:val="0"/>
      <w:marTop w:val="0"/>
      <w:marBottom w:val="0"/>
      <w:divBdr>
        <w:top w:val="none" w:sz="0" w:space="0" w:color="auto"/>
        <w:left w:val="none" w:sz="0" w:space="0" w:color="auto"/>
        <w:bottom w:val="none" w:sz="0" w:space="0" w:color="auto"/>
        <w:right w:val="none" w:sz="0" w:space="0" w:color="auto"/>
      </w:divBdr>
    </w:div>
    <w:div w:id="510072732">
      <w:bodyDiv w:val="1"/>
      <w:marLeft w:val="0"/>
      <w:marRight w:val="0"/>
      <w:marTop w:val="0"/>
      <w:marBottom w:val="0"/>
      <w:divBdr>
        <w:top w:val="none" w:sz="0" w:space="0" w:color="auto"/>
        <w:left w:val="none" w:sz="0" w:space="0" w:color="auto"/>
        <w:bottom w:val="none" w:sz="0" w:space="0" w:color="auto"/>
        <w:right w:val="none" w:sz="0" w:space="0" w:color="auto"/>
      </w:divBdr>
    </w:div>
    <w:div w:id="511721366">
      <w:bodyDiv w:val="1"/>
      <w:marLeft w:val="0"/>
      <w:marRight w:val="0"/>
      <w:marTop w:val="0"/>
      <w:marBottom w:val="0"/>
      <w:divBdr>
        <w:top w:val="none" w:sz="0" w:space="0" w:color="auto"/>
        <w:left w:val="none" w:sz="0" w:space="0" w:color="auto"/>
        <w:bottom w:val="none" w:sz="0" w:space="0" w:color="auto"/>
        <w:right w:val="none" w:sz="0" w:space="0" w:color="auto"/>
      </w:divBdr>
    </w:div>
    <w:div w:id="512183257">
      <w:bodyDiv w:val="1"/>
      <w:marLeft w:val="0"/>
      <w:marRight w:val="0"/>
      <w:marTop w:val="0"/>
      <w:marBottom w:val="0"/>
      <w:divBdr>
        <w:top w:val="none" w:sz="0" w:space="0" w:color="auto"/>
        <w:left w:val="none" w:sz="0" w:space="0" w:color="auto"/>
        <w:bottom w:val="none" w:sz="0" w:space="0" w:color="auto"/>
        <w:right w:val="none" w:sz="0" w:space="0" w:color="auto"/>
      </w:divBdr>
    </w:div>
    <w:div w:id="517938091">
      <w:bodyDiv w:val="1"/>
      <w:marLeft w:val="0"/>
      <w:marRight w:val="0"/>
      <w:marTop w:val="0"/>
      <w:marBottom w:val="0"/>
      <w:divBdr>
        <w:top w:val="none" w:sz="0" w:space="0" w:color="auto"/>
        <w:left w:val="none" w:sz="0" w:space="0" w:color="auto"/>
        <w:bottom w:val="none" w:sz="0" w:space="0" w:color="auto"/>
        <w:right w:val="none" w:sz="0" w:space="0" w:color="auto"/>
      </w:divBdr>
      <w:divsChild>
        <w:div w:id="595406935">
          <w:marLeft w:val="0"/>
          <w:marRight w:val="0"/>
          <w:marTop w:val="0"/>
          <w:marBottom w:val="0"/>
          <w:divBdr>
            <w:top w:val="none" w:sz="0" w:space="0" w:color="auto"/>
            <w:left w:val="none" w:sz="0" w:space="0" w:color="auto"/>
            <w:bottom w:val="none" w:sz="0" w:space="0" w:color="auto"/>
            <w:right w:val="none" w:sz="0" w:space="0" w:color="auto"/>
          </w:divBdr>
        </w:div>
      </w:divsChild>
    </w:div>
    <w:div w:id="526800518">
      <w:bodyDiv w:val="1"/>
      <w:marLeft w:val="0"/>
      <w:marRight w:val="0"/>
      <w:marTop w:val="0"/>
      <w:marBottom w:val="0"/>
      <w:divBdr>
        <w:top w:val="none" w:sz="0" w:space="0" w:color="auto"/>
        <w:left w:val="none" w:sz="0" w:space="0" w:color="auto"/>
        <w:bottom w:val="none" w:sz="0" w:space="0" w:color="auto"/>
        <w:right w:val="none" w:sz="0" w:space="0" w:color="auto"/>
      </w:divBdr>
    </w:div>
    <w:div w:id="530340427">
      <w:bodyDiv w:val="1"/>
      <w:marLeft w:val="0"/>
      <w:marRight w:val="0"/>
      <w:marTop w:val="0"/>
      <w:marBottom w:val="0"/>
      <w:divBdr>
        <w:top w:val="none" w:sz="0" w:space="0" w:color="auto"/>
        <w:left w:val="none" w:sz="0" w:space="0" w:color="auto"/>
        <w:bottom w:val="none" w:sz="0" w:space="0" w:color="auto"/>
        <w:right w:val="none" w:sz="0" w:space="0" w:color="auto"/>
      </w:divBdr>
    </w:div>
    <w:div w:id="537664410">
      <w:bodyDiv w:val="1"/>
      <w:marLeft w:val="0"/>
      <w:marRight w:val="0"/>
      <w:marTop w:val="0"/>
      <w:marBottom w:val="0"/>
      <w:divBdr>
        <w:top w:val="none" w:sz="0" w:space="0" w:color="auto"/>
        <w:left w:val="none" w:sz="0" w:space="0" w:color="auto"/>
        <w:bottom w:val="none" w:sz="0" w:space="0" w:color="auto"/>
        <w:right w:val="none" w:sz="0" w:space="0" w:color="auto"/>
      </w:divBdr>
    </w:div>
    <w:div w:id="538124495">
      <w:bodyDiv w:val="1"/>
      <w:marLeft w:val="0"/>
      <w:marRight w:val="0"/>
      <w:marTop w:val="0"/>
      <w:marBottom w:val="0"/>
      <w:divBdr>
        <w:top w:val="none" w:sz="0" w:space="0" w:color="auto"/>
        <w:left w:val="none" w:sz="0" w:space="0" w:color="auto"/>
        <w:bottom w:val="none" w:sz="0" w:space="0" w:color="auto"/>
        <w:right w:val="none" w:sz="0" w:space="0" w:color="auto"/>
      </w:divBdr>
    </w:div>
    <w:div w:id="540049042">
      <w:bodyDiv w:val="1"/>
      <w:marLeft w:val="0"/>
      <w:marRight w:val="0"/>
      <w:marTop w:val="0"/>
      <w:marBottom w:val="0"/>
      <w:divBdr>
        <w:top w:val="none" w:sz="0" w:space="0" w:color="auto"/>
        <w:left w:val="none" w:sz="0" w:space="0" w:color="auto"/>
        <w:bottom w:val="none" w:sz="0" w:space="0" w:color="auto"/>
        <w:right w:val="none" w:sz="0" w:space="0" w:color="auto"/>
      </w:divBdr>
    </w:div>
    <w:div w:id="546382507">
      <w:bodyDiv w:val="1"/>
      <w:marLeft w:val="0"/>
      <w:marRight w:val="0"/>
      <w:marTop w:val="0"/>
      <w:marBottom w:val="0"/>
      <w:divBdr>
        <w:top w:val="none" w:sz="0" w:space="0" w:color="auto"/>
        <w:left w:val="none" w:sz="0" w:space="0" w:color="auto"/>
        <w:bottom w:val="none" w:sz="0" w:space="0" w:color="auto"/>
        <w:right w:val="none" w:sz="0" w:space="0" w:color="auto"/>
      </w:divBdr>
    </w:div>
    <w:div w:id="554245927">
      <w:bodyDiv w:val="1"/>
      <w:marLeft w:val="0"/>
      <w:marRight w:val="0"/>
      <w:marTop w:val="0"/>
      <w:marBottom w:val="0"/>
      <w:divBdr>
        <w:top w:val="none" w:sz="0" w:space="0" w:color="auto"/>
        <w:left w:val="none" w:sz="0" w:space="0" w:color="auto"/>
        <w:bottom w:val="none" w:sz="0" w:space="0" w:color="auto"/>
        <w:right w:val="none" w:sz="0" w:space="0" w:color="auto"/>
      </w:divBdr>
    </w:div>
    <w:div w:id="557976672">
      <w:bodyDiv w:val="1"/>
      <w:marLeft w:val="0"/>
      <w:marRight w:val="0"/>
      <w:marTop w:val="0"/>
      <w:marBottom w:val="0"/>
      <w:divBdr>
        <w:top w:val="none" w:sz="0" w:space="0" w:color="auto"/>
        <w:left w:val="none" w:sz="0" w:space="0" w:color="auto"/>
        <w:bottom w:val="none" w:sz="0" w:space="0" w:color="auto"/>
        <w:right w:val="none" w:sz="0" w:space="0" w:color="auto"/>
      </w:divBdr>
    </w:div>
    <w:div w:id="560166987">
      <w:bodyDiv w:val="1"/>
      <w:marLeft w:val="0"/>
      <w:marRight w:val="0"/>
      <w:marTop w:val="0"/>
      <w:marBottom w:val="0"/>
      <w:divBdr>
        <w:top w:val="none" w:sz="0" w:space="0" w:color="auto"/>
        <w:left w:val="none" w:sz="0" w:space="0" w:color="auto"/>
        <w:bottom w:val="none" w:sz="0" w:space="0" w:color="auto"/>
        <w:right w:val="none" w:sz="0" w:space="0" w:color="auto"/>
      </w:divBdr>
    </w:div>
    <w:div w:id="560794247">
      <w:bodyDiv w:val="1"/>
      <w:marLeft w:val="0"/>
      <w:marRight w:val="0"/>
      <w:marTop w:val="0"/>
      <w:marBottom w:val="0"/>
      <w:divBdr>
        <w:top w:val="none" w:sz="0" w:space="0" w:color="auto"/>
        <w:left w:val="none" w:sz="0" w:space="0" w:color="auto"/>
        <w:bottom w:val="none" w:sz="0" w:space="0" w:color="auto"/>
        <w:right w:val="none" w:sz="0" w:space="0" w:color="auto"/>
      </w:divBdr>
    </w:div>
    <w:div w:id="572541747">
      <w:bodyDiv w:val="1"/>
      <w:marLeft w:val="0"/>
      <w:marRight w:val="0"/>
      <w:marTop w:val="0"/>
      <w:marBottom w:val="0"/>
      <w:divBdr>
        <w:top w:val="none" w:sz="0" w:space="0" w:color="auto"/>
        <w:left w:val="none" w:sz="0" w:space="0" w:color="auto"/>
        <w:bottom w:val="none" w:sz="0" w:space="0" w:color="auto"/>
        <w:right w:val="none" w:sz="0" w:space="0" w:color="auto"/>
      </w:divBdr>
      <w:divsChild>
        <w:div w:id="556165285">
          <w:marLeft w:val="0"/>
          <w:marRight w:val="0"/>
          <w:marTop w:val="0"/>
          <w:marBottom w:val="0"/>
          <w:divBdr>
            <w:top w:val="none" w:sz="0" w:space="0" w:color="auto"/>
            <w:left w:val="none" w:sz="0" w:space="0" w:color="auto"/>
            <w:bottom w:val="none" w:sz="0" w:space="0" w:color="auto"/>
            <w:right w:val="none" w:sz="0" w:space="0" w:color="auto"/>
          </w:divBdr>
          <w:divsChild>
            <w:div w:id="99691787">
              <w:marLeft w:val="0"/>
              <w:marRight w:val="0"/>
              <w:marTop w:val="0"/>
              <w:marBottom w:val="0"/>
              <w:divBdr>
                <w:top w:val="none" w:sz="0" w:space="0" w:color="auto"/>
                <w:left w:val="none" w:sz="0" w:space="0" w:color="auto"/>
                <w:bottom w:val="none" w:sz="0" w:space="0" w:color="auto"/>
                <w:right w:val="none" w:sz="0" w:space="0" w:color="auto"/>
              </w:divBdr>
              <w:divsChild>
                <w:div w:id="1346634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2937534">
      <w:bodyDiv w:val="1"/>
      <w:marLeft w:val="0"/>
      <w:marRight w:val="0"/>
      <w:marTop w:val="0"/>
      <w:marBottom w:val="0"/>
      <w:divBdr>
        <w:top w:val="none" w:sz="0" w:space="0" w:color="auto"/>
        <w:left w:val="none" w:sz="0" w:space="0" w:color="auto"/>
        <w:bottom w:val="none" w:sz="0" w:space="0" w:color="auto"/>
        <w:right w:val="none" w:sz="0" w:space="0" w:color="auto"/>
      </w:divBdr>
    </w:div>
    <w:div w:id="578634286">
      <w:bodyDiv w:val="1"/>
      <w:marLeft w:val="0"/>
      <w:marRight w:val="0"/>
      <w:marTop w:val="0"/>
      <w:marBottom w:val="0"/>
      <w:divBdr>
        <w:top w:val="none" w:sz="0" w:space="0" w:color="auto"/>
        <w:left w:val="none" w:sz="0" w:space="0" w:color="auto"/>
        <w:bottom w:val="none" w:sz="0" w:space="0" w:color="auto"/>
        <w:right w:val="none" w:sz="0" w:space="0" w:color="auto"/>
      </w:divBdr>
    </w:div>
    <w:div w:id="588850110">
      <w:bodyDiv w:val="1"/>
      <w:marLeft w:val="0"/>
      <w:marRight w:val="0"/>
      <w:marTop w:val="0"/>
      <w:marBottom w:val="0"/>
      <w:divBdr>
        <w:top w:val="none" w:sz="0" w:space="0" w:color="auto"/>
        <w:left w:val="none" w:sz="0" w:space="0" w:color="auto"/>
        <w:bottom w:val="none" w:sz="0" w:space="0" w:color="auto"/>
        <w:right w:val="none" w:sz="0" w:space="0" w:color="auto"/>
      </w:divBdr>
    </w:div>
    <w:div w:id="589700543">
      <w:bodyDiv w:val="1"/>
      <w:marLeft w:val="0"/>
      <w:marRight w:val="0"/>
      <w:marTop w:val="0"/>
      <w:marBottom w:val="0"/>
      <w:divBdr>
        <w:top w:val="none" w:sz="0" w:space="0" w:color="auto"/>
        <w:left w:val="none" w:sz="0" w:space="0" w:color="auto"/>
        <w:bottom w:val="none" w:sz="0" w:space="0" w:color="auto"/>
        <w:right w:val="none" w:sz="0" w:space="0" w:color="auto"/>
      </w:divBdr>
    </w:div>
    <w:div w:id="600573066">
      <w:bodyDiv w:val="1"/>
      <w:marLeft w:val="0"/>
      <w:marRight w:val="0"/>
      <w:marTop w:val="0"/>
      <w:marBottom w:val="0"/>
      <w:divBdr>
        <w:top w:val="none" w:sz="0" w:space="0" w:color="auto"/>
        <w:left w:val="none" w:sz="0" w:space="0" w:color="auto"/>
        <w:bottom w:val="none" w:sz="0" w:space="0" w:color="auto"/>
        <w:right w:val="none" w:sz="0" w:space="0" w:color="auto"/>
      </w:divBdr>
    </w:div>
    <w:div w:id="602148860">
      <w:bodyDiv w:val="1"/>
      <w:marLeft w:val="0"/>
      <w:marRight w:val="0"/>
      <w:marTop w:val="0"/>
      <w:marBottom w:val="0"/>
      <w:divBdr>
        <w:top w:val="none" w:sz="0" w:space="0" w:color="auto"/>
        <w:left w:val="none" w:sz="0" w:space="0" w:color="auto"/>
        <w:bottom w:val="none" w:sz="0" w:space="0" w:color="auto"/>
        <w:right w:val="none" w:sz="0" w:space="0" w:color="auto"/>
      </w:divBdr>
      <w:divsChild>
        <w:div w:id="1332490581">
          <w:marLeft w:val="0"/>
          <w:marRight w:val="0"/>
          <w:marTop w:val="0"/>
          <w:marBottom w:val="0"/>
          <w:divBdr>
            <w:top w:val="none" w:sz="0" w:space="0" w:color="auto"/>
            <w:left w:val="none" w:sz="0" w:space="0" w:color="auto"/>
            <w:bottom w:val="none" w:sz="0" w:space="0" w:color="auto"/>
            <w:right w:val="none" w:sz="0" w:space="0" w:color="auto"/>
          </w:divBdr>
          <w:divsChild>
            <w:div w:id="1851291165">
              <w:marLeft w:val="0"/>
              <w:marRight w:val="0"/>
              <w:marTop w:val="0"/>
              <w:marBottom w:val="0"/>
              <w:divBdr>
                <w:top w:val="none" w:sz="0" w:space="0" w:color="auto"/>
                <w:left w:val="none" w:sz="0" w:space="0" w:color="auto"/>
                <w:bottom w:val="none" w:sz="0" w:space="0" w:color="auto"/>
                <w:right w:val="none" w:sz="0" w:space="0" w:color="auto"/>
              </w:divBdr>
              <w:divsChild>
                <w:div w:id="813568234">
                  <w:marLeft w:val="0"/>
                  <w:marRight w:val="0"/>
                  <w:marTop w:val="0"/>
                  <w:marBottom w:val="0"/>
                  <w:divBdr>
                    <w:top w:val="none" w:sz="0" w:space="0" w:color="auto"/>
                    <w:left w:val="none" w:sz="0" w:space="0" w:color="auto"/>
                    <w:bottom w:val="none" w:sz="0" w:space="0" w:color="auto"/>
                    <w:right w:val="none" w:sz="0" w:space="0" w:color="auto"/>
                  </w:divBdr>
                  <w:divsChild>
                    <w:div w:id="1806703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1012807">
      <w:bodyDiv w:val="1"/>
      <w:marLeft w:val="0"/>
      <w:marRight w:val="0"/>
      <w:marTop w:val="0"/>
      <w:marBottom w:val="0"/>
      <w:divBdr>
        <w:top w:val="none" w:sz="0" w:space="0" w:color="auto"/>
        <w:left w:val="none" w:sz="0" w:space="0" w:color="auto"/>
        <w:bottom w:val="none" w:sz="0" w:space="0" w:color="auto"/>
        <w:right w:val="none" w:sz="0" w:space="0" w:color="auto"/>
      </w:divBdr>
    </w:div>
    <w:div w:id="611285424">
      <w:bodyDiv w:val="1"/>
      <w:marLeft w:val="0"/>
      <w:marRight w:val="0"/>
      <w:marTop w:val="0"/>
      <w:marBottom w:val="0"/>
      <w:divBdr>
        <w:top w:val="none" w:sz="0" w:space="0" w:color="auto"/>
        <w:left w:val="none" w:sz="0" w:space="0" w:color="auto"/>
        <w:bottom w:val="none" w:sz="0" w:space="0" w:color="auto"/>
        <w:right w:val="none" w:sz="0" w:space="0" w:color="auto"/>
      </w:divBdr>
      <w:divsChild>
        <w:div w:id="469327342">
          <w:marLeft w:val="0"/>
          <w:marRight w:val="0"/>
          <w:marTop w:val="0"/>
          <w:marBottom w:val="0"/>
          <w:divBdr>
            <w:top w:val="none" w:sz="0" w:space="0" w:color="auto"/>
            <w:left w:val="none" w:sz="0" w:space="0" w:color="auto"/>
            <w:bottom w:val="none" w:sz="0" w:space="0" w:color="auto"/>
            <w:right w:val="none" w:sz="0" w:space="0" w:color="auto"/>
          </w:divBdr>
        </w:div>
      </w:divsChild>
    </w:div>
    <w:div w:id="617375456">
      <w:bodyDiv w:val="1"/>
      <w:marLeft w:val="0"/>
      <w:marRight w:val="0"/>
      <w:marTop w:val="0"/>
      <w:marBottom w:val="0"/>
      <w:divBdr>
        <w:top w:val="none" w:sz="0" w:space="0" w:color="auto"/>
        <w:left w:val="none" w:sz="0" w:space="0" w:color="auto"/>
        <w:bottom w:val="none" w:sz="0" w:space="0" w:color="auto"/>
        <w:right w:val="none" w:sz="0" w:space="0" w:color="auto"/>
      </w:divBdr>
    </w:div>
    <w:div w:id="619801437">
      <w:bodyDiv w:val="1"/>
      <w:marLeft w:val="0"/>
      <w:marRight w:val="0"/>
      <w:marTop w:val="0"/>
      <w:marBottom w:val="0"/>
      <w:divBdr>
        <w:top w:val="none" w:sz="0" w:space="0" w:color="auto"/>
        <w:left w:val="none" w:sz="0" w:space="0" w:color="auto"/>
        <w:bottom w:val="none" w:sz="0" w:space="0" w:color="auto"/>
        <w:right w:val="none" w:sz="0" w:space="0" w:color="auto"/>
      </w:divBdr>
    </w:div>
    <w:div w:id="633027910">
      <w:bodyDiv w:val="1"/>
      <w:marLeft w:val="0"/>
      <w:marRight w:val="0"/>
      <w:marTop w:val="0"/>
      <w:marBottom w:val="0"/>
      <w:divBdr>
        <w:top w:val="none" w:sz="0" w:space="0" w:color="auto"/>
        <w:left w:val="none" w:sz="0" w:space="0" w:color="auto"/>
        <w:bottom w:val="none" w:sz="0" w:space="0" w:color="auto"/>
        <w:right w:val="none" w:sz="0" w:space="0" w:color="auto"/>
      </w:divBdr>
    </w:div>
    <w:div w:id="642588256">
      <w:bodyDiv w:val="1"/>
      <w:marLeft w:val="0"/>
      <w:marRight w:val="0"/>
      <w:marTop w:val="0"/>
      <w:marBottom w:val="0"/>
      <w:divBdr>
        <w:top w:val="none" w:sz="0" w:space="0" w:color="auto"/>
        <w:left w:val="none" w:sz="0" w:space="0" w:color="auto"/>
        <w:bottom w:val="none" w:sz="0" w:space="0" w:color="auto"/>
        <w:right w:val="none" w:sz="0" w:space="0" w:color="auto"/>
      </w:divBdr>
    </w:div>
    <w:div w:id="647707773">
      <w:bodyDiv w:val="1"/>
      <w:marLeft w:val="0"/>
      <w:marRight w:val="0"/>
      <w:marTop w:val="0"/>
      <w:marBottom w:val="0"/>
      <w:divBdr>
        <w:top w:val="none" w:sz="0" w:space="0" w:color="auto"/>
        <w:left w:val="none" w:sz="0" w:space="0" w:color="auto"/>
        <w:bottom w:val="none" w:sz="0" w:space="0" w:color="auto"/>
        <w:right w:val="none" w:sz="0" w:space="0" w:color="auto"/>
      </w:divBdr>
      <w:divsChild>
        <w:div w:id="321742813">
          <w:marLeft w:val="0"/>
          <w:marRight w:val="0"/>
          <w:marTop w:val="0"/>
          <w:marBottom w:val="0"/>
          <w:divBdr>
            <w:top w:val="none" w:sz="0" w:space="0" w:color="auto"/>
            <w:left w:val="none" w:sz="0" w:space="0" w:color="auto"/>
            <w:bottom w:val="none" w:sz="0" w:space="0" w:color="auto"/>
            <w:right w:val="none" w:sz="0" w:space="0" w:color="auto"/>
          </w:divBdr>
        </w:div>
        <w:div w:id="628514212">
          <w:marLeft w:val="0"/>
          <w:marRight w:val="0"/>
          <w:marTop w:val="0"/>
          <w:marBottom w:val="0"/>
          <w:divBdr>
            <w:top w:val="none" w:sz="0" w:space="0" w:color="auto"/>
            <w:left w:val="none" w:sz="0" w:space="0" w:color="auto"/>
            <w:bottom w:val="none" w:sz="0" w:space="0" w:color="auto"/>
            <w:right w:val="none" w:sz="0" w:space="0" w:color="auto"/>
          </w:divBdr>
          <w:divsChild>
            <w:div w:id="147209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808502">
      <w:bodyDiv w:val="1"/>
      <w:marLeft w:val="0"/>
      <w:marRight w:val="0"/>
      <w:marTop w:val="0"/>
      <w:marBottom w:val="0"/>
      <w:divBdr>
        <w:top w:val="none" w:sz="0" w:space="0" w:color="auto"/>
        <w:left w:val="none" w:sz="0" w:space="0" w:color="auto"/>
        <w:bottom w:val="none" w:sz="0" w:space="0" w:color="auto"/>
        <w:right w:val="none" w:sz="0" w:space="0" w:color="auto"/>
      </w:divBdr>
      <w:divsChild>
        <w:div w:id="187450891">
          <w:marLeft w:val="0"/>
          <w:marRight w:val="0"/>
          <w:marTop w:val="0"/>
          <w:marBottom w:val="0"/>
          <w:divBdr>
            <w:top w:val="none" w:sz="0" w:space="0" w:color="auto"/>
            <w:left w:val="none" w:sz="0" w:space="0" w:color="auto"/>
            <w:bottom w:val="none" w:sz="0" w:space="0" w:color="auto"/>
            <w:right w:val="none" w:sz="0" w:space="0" w:color="auto"/>
          </w:divBdr>
          <w:divsChild>
            <w:div w:id="581792119">
              <w:marLeft w:val="0"/>
              <w:marRight w:val="0"/>
              <w:marTop w:val="0"/>
              <w:marBottom w:val="0"/>
              <w:divBdr>
                <w:top w:val="none" w:sz="0" w:space="0" w:color="auto"/>
                <w:left w:val="none" w:sz="0" w:space="0" w:color="auto"/>
                <w:bottom w:val="none" w:sz="0" w:space="0" w:color="auto"/>
                <w:right w:val="none" w:sz="0" w:space="0" w:color="auto"/>
              </w:divBdr>
              <w:divsChild>
                <w:div w:id="1085419551">
                  <w:marLeft w:val="4000"/>
                  <w:marRight w:val="0"/>
                  <w:marTop w:val="0"/>
                  <w:marBottom w:val="0"/>
                  <w:divBdr>
                    <w:top w:val="none" w:sz="0" w:space="0" w:color="auto"/>
                    <w:left w:val="none" w:sz="0" w:space="0" w:color="auto"/>
                    <w:bottom w:val="none" w:sz="0" w:space="0" w:color="auto"/>
                    <w:right w:val="none" w:sz="0" w:space="0" w:color="auto"/>
                  </w:divBdr>
                  <w:divsChild>
                    <w:div w:id="1697006048">
                      <w:marLeft w:val="0"/>
                      <w:marRight w:val="0"/>
                      <w:marTop w:val="0"/>
                      <w:marBottom w:val="0"/>
                      <w:divBdr>
                        <w:top w:val="none" w:sz="0" w:space="0" w:color="auto"/>
                        <w:left w:val="single" w:sz="8" w:space="20" w:color="D7D7D2"/>
                        <w:bottom w:val="none" w:sz="0" w:space="0" w:color="auto"/>
                        <w:right w:val="none" w:sz="0" w:space="0" w:color="auto"/>
                      </w:divBdr>
                      <w:divsChild>
                        <w:div w:id="1262223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2439302">
      <w:bodyDiv w:val="1"/>
      <w:marLeft w:val="0"/>
      <w:marRight w:val="0"/>
      <w:marTop w:val="0"/>
      <w:marBottom w:val="0"/>
      <w:divBdr>
        <w:top w:val="none" w:sz="0" w:space="0" w:color="auto"/>
        <w:left w:val="none" w:sz="0" w:space="0" w:color="auto"/>
        <w:bottom w:val="none" w:sz="0" w:space="0" w:color="auto"/>
        <w:right w:val="none" w:sz="0" w:space="0" w:color="auto"/>
      </w:divBdr>
    </w:div>
    <w:div w:id="700781872">
      <w:bodyDiv w:val="1"/>
      <w:marLeft w:val="0"/>
      <w:marRight w:val="0"/>
      <w:marTop w:val="0"/>
      <w:marBottom w:val="0"/>
      <w:divBdr>
        <w:top w:val="none" w:sz="0" w:space="0" w:color="auto"/>
        <w:left w:val="none" w:sz="0" w:space="0" w:color="auto"/>
        <w:bottom w:val="none" w:sz="0" w:space="0" w:color="auto"/>
        <w:right w:val="none" w:sz="0" w:space="0" w:color="auto"/>
      </w:divBdr>
    </w:div>
    <w:div w:id="710761163">
      <w:bodyDiv w:val="1"/>
      <w:marLeft w:val="0"/>
      <w:marRight w:val="0"/>
      <w:marTop w:val="0"/>
      <w:marBottom w:val="0"/>
      <w:divBdr>
        <w:top w:val="none" w:sz="0" w:space="0" w:color="auto"/>
        <w:left w:val="none" w:sz="0" w:space="0" w:color="auto"/>
        <w:bottom w:val="none" w:sz="0" w:space="0" w:color="auto"/>
        <w:right w:val="none" w:sz="0" w:space="0" w:color="auto"/>
      </w:divBdr>
    </w:div>
    <w:div w:id="712273849">
      <w:bodyDiv w:val="1"/>
      <w:marLeft w:val="0"/>
      <w:marRight w:val="0"/>
      <w:marTop w:val="0"/>
      <w:marBottom w:val="0"/>
      <w:divBdr>
        <w:top w:val="none" w:sz="0" w:space="0" w:color="auto"/>
        <w:left w:val="none" w:sz="0" w:space="0" w:color="auto"/>
        <w:bottom w:val="none" w:sz="0" w:space="0" w:color="auto"/>
        <w:right w:val="none" w:sz="0" w:space="0" w:color="auto"/>
      </w:divBdr>
    </w:div>
    <w:div w:id="718632415">
      <w:bodyDiv w:val="1"/>
      <w:marLeft w:val="0"/>
      <w:marRight w:val="0"/>
      <w:marTop w:val="0"/>
      <w:marBottom w:val="0"/>
      <w:divBdr>
        <w:top w:val="none" w:sz="0" w:space="0" w:color="auto"/>
        <w:left w:val="none" w:sz="0" w:space="0" w:color="auto"/>
        <w:bottom w:val="none" w:sz="0" w:space="0" w:color="auto"/>
        <w:right w:val="none" w:sz="0" w:space="0" w:color="auto"/>
      </w:divBdr>
    </w:div>
    <w:div w:id="731579852">
      <w:bodyDiv w:val="1"/>
      <w:marLeft w:val="0"/>
      <w:marRight w:val="0"/>
      <w:marTop w:val="0"/>
      <w:marBottom w:val="0"/>
      <w:divBdr>
        <w:top w:val="none" w:sz="0" w:space="0" w:color="auto"/>
        <w:left w:val="none" w:sz="0" w:space="0" w:color="auto"/>
        <w:bottom w:val="none" w:sz="0" w:space="0" w:color="auto"/>
        <w:right w:val="none" w:sz="0" w:space="0" w:color="auto"/>
      </w:divBdr>
    </w:div>
    <w:div w:id="735737014">
      <w:bodyDiv w:val="1"/>
      <w:marLeft w:val="0"/>
      <w:marRight w:val="0"/>
      <w:marTop w:val="0"/>
      <w:marBottom w:val="0"/>
      <w:divBdr>
        <w:top w:val="none" w:sz="0" w:space="0" w:color="auto"/>
        <w:left w:val="none" w:sz="0" w:space="0" w:color="auto"/>
        <w:bottom w:val="none" w:sz="0" w:space="0" w:color="auto"/>
        <w:right w:val="none" w:sz="0" w:space="0" w:color="auto"/>
      </w:divBdr>
    </w:div>
    <w:div w:id="738090393">
      <w:bodyDiv w:val="1"/>
      <w:marLeft w:val="0"/>
      <w:marRight w:val="0"/>
      <w:marTop w:val="0"/>
      <w:marBottom w:val="0"/>
      <w:divBdr>
        <w:top w:val="none" w:sz="0" w:space="0" w:color="auto"/>
        <w:left w:val="none" w:sz="0" w:space="0" w:color="auto"/>
        <w:bottom w:val="none" w:sz="0" w:space="0" w:color="auto"/>
        <w:right w:val="none" w:sz="0" w:space="0" w:color="auto"/>
      </w:divBdr>
    </w:div>
    <w:div w:id="740491588">
      <w:bodyDiv w:val="1"/>
      <w:marLeft w:val="0"/>
      <w:marRight w:val="0"/>
      <w:marTop w:val="0"/>
      <w:marBottom w:val="0"/>
      <w:divBdr>
        <w:top w:val="none" w:sz="0" w:space="0" w:color="auto"/>
        <w:left w:val="none" w:sz="0" w:space="0" w:color="auto"/>
        <w:bottom w:val="none" w:sz="0" w:space="0" w:color="auto"/>
        <w:right w:val="none" w:sz="0" w:space="0" w:color="auto"/>
      </w:divBdr>
    </w:div>
    <w:div w:id="750662903">
      <w:bodyDiv w:val="1"/>
      <w:marLeft w:val="0"/>
      <w:marRight w:val="0"/>
      <w:marTop w:val="0"/>
      <w:marBottom w:val="0"/>
      <w:divBdr>
        <w:top w:val="none" w:sz="0" w:space="0" w:color="auto"/>
        <w:left w:val="none" w:sz="0" w:space="0" w:color="auto"/>
        <w:bottom w:val="none" w:sz="0" w:space="0" w:color="auto"/>
        <w:right w:val="none" w:sz="0" w:space="0" w:color="auto"/>
      </w:divBdr>
    </w:div>
    <w:div w:id="756907248">
      <w:bodyDiv w:val="1"/>
      <w:marLeft w:val="0"/>
      <w:marRight w:val="0"/>
      <w:marTop w:val="0"/>
      <w:marBottom w:val="0"/>
      <w:divBdr>
        <w:top w:val="none" w:sz="0" w:space="0" w:color="auto"/>
        <w:left w:val="none" w:sz="0" w:space="0" w:color="auto"/>
        <w:bottom w:val="none" w:sz="0" w:space="0" w:color="auto"/>
        <w:right w:val="none" w:sz="0" w:space="0" w:color="auto"/>
      </w:divBdr>
    </w:div>
    <w:div w:id="759528955">
      <w:bodyDiv w:val="1"/>
      <w:marLeft w:val="0"/>
      <w:marRight w:val="0"/>
      <w:marTop w:val="0"/>
      <w:marBottom w:val="0"/>
      <w:divBdr>
        <w:top w:val="none" w:sz="0" w:space="0" w:color="auto"/>
        <w:left w:val="none" w:sz="0" w:space="0" w:color="auto"/>
        <w:bottom w:val="none" w:sz="0" w:space="0" w:color="auto"/>
        <w:right w:val="none" w:sz="0" w:space="0" w:color="auto"/>
      </w:divBdr>
    </w:div>
    <w:div w:id="760755456">
      <w:bodyDiv w:val="1"/>
      <w:marLeft w:val="0"/>
      <w:marRight w:val="0"/>
      <w:marTop w:val="0"/>
      <w:marBottom w:val="0"/>
      <w:divBdr>
        <w:top w:val="none" w:sz="0" w:space="0" w:color="auto"/>
        <w:left w:val="none" w:sz="0" w:space="0" w:color="auto"/>
        <w:bottom w:val="none" w:sz="0" w:space="0" w:color="auto"/>
        <w:right w:val="none" w:sz="0" w:space="0" w:color="auto"/>
      </w:divBdr>
    </w:div>
    <w:div w:id="774249207">
      <w:bodyDiv w:val="1"/>
      <w:marLeft w:val="0"/>
      <w:marRight w:val="0"/>
      <w:marTop w:val="0"/>
      <w:marBottom w:val="0"/>
      <w:divBdr>
        <w:top w:val="none" w:sz="0" w:space="0" w:color="auto"/>
        <w:left w:val="none" w:sz="0" w:space="0" w:color="auto"/>
        <w:bottom w:val="none" w:sz="0" w:space="0" w:color="auto"/>
        <w:right w:val="none" w:sz="0" w:space="0" w:color="auto"/>
      </w:divBdr>
    </w:div>
    <w:div w:id="776292186">
      <w:bodyDiv w:val="1"/>
      <w:marLeft w:val="0"/>
      <w:marRight w:val="0"/>
      <w:marTop w:val="0"/>
      <w:marBottom w:val="0"/>
      <w:divBdr>
        <w:top w:val="none" w:sz="0" w:space="0" w:color="auto"/>
        <w:left w:val="none" w:sz="0" w:space="0" w:color="auto"/>
        <w:bottom w:val="none" w:sz="0" w:space="0" w:color="auto"/>
        <w:right w:val="none" w:sz="0" w:space="0" w:color="auto"/>
      </w:divBdr>
    </w:div>
    <w:div w:id="776676042">
      <w:bodyDiv w:val="1"/>
      <w:marLeft w:val="0"/>
      <w:marRight w:val="0"/>
      <w:marTop w:val="0"/>
      <w:marBottom w:val="0"/>
      <w:divBdr>
        <w:top w:val="none" w:sz="0" w:space="0" w:color="auto"/>
        <w:left w:val="none" w:sz="0" w:space="0" w:color="auto"/>
        <w:bottom w:val="none" w:sz="0" w:space="0" w:color="auto"/>
        <w:right w:val="none" w:sz="0" w:space="0" w:color="auto"/>
      </w:divBdr>
    </w:div>
    <w:div w:id="784881948">
      <w:bodyDiv w:val="1"/>
      <w:marLeft w:val="0"/>
      <w:marRight w:val="0"/>
      <w:marTop w:val="0"/>
      <w:marBottom w:val="0"/>
      <w:divBdr>
        <w:top w:val="none" w:sz="0" w:space="0" w:color="auto"/>
        <w:left w:val="none" w:sz="0" w:space="0" w:color="auto"/>
        <w:bottom w:val="none" w:sz="0" w:space="0" w:color="auto"/>
        <w:right w:val="none" w:sz="0" w:space="0" w:color="auto"/>
      </w:divBdr>
    </w:div>
    <w:div w:id="810827375">
      <w:bodyDiv w:val="1"/>
      <w:marLeft w:val="0"/>
      <w:marRight w:val="0"/>
      <w:marTop w:val="0"/>
      <w:marBottom w:val="0"/>
      <w:divBdr>
        <w:top w:val="none" w:sz="0" w:space="0" w:color="auto"/>
        <w:left w:val="none" w:sz="0" w:space="0" w:color="auto"/>
        <w:bottom w:val="none" w:sz="0" w:space="0" w:color="auto"/>
        <w:right w:val="none" w:sz="0" w:space="0" w:color="auto"/>
      </w:divBdr>
    </w:div>
    <w:div w:id="811749914">
      <w:bodyDiv w:val="1"/>
      <w:marLeft w:val="0"/>
      <w:marRight w:val="0"/>
      <w:marTop w:val="0"/>
      <w:marBottom w:val="0"/>
      <w:divBdr>
        <w:top w:val="none" w:sz="0" w:space="0" w:color="auto"/>
        <w:left w:val="none" w:sz="0" w:space="0" w:color="auto"/>
        <w:bottom w:val="none" w:sz="0" w:space="0" w:color="auto"/>
        <w:right w:val="none" w:sz="0" w:space="0" w:color="auto"/>
      </w:divBdr>
    </w:div>
    <w:div w:id="819536330">
      <w:bodyDiv w:val="1"/>
      <w:marLeft w:val="0"/>
      <w:marRight w:val="0"/>
      <w:marTop w:val="0"/>
      <w:marBottom w:val="0"/>
      <w:divBdr>
        <w:top w:val="none" w:sz="0" w:space="0" w:color="auto"/>
        <w:left w:val="none" w:sz="0" w:space="0" w:color="auto"/>
        <w:bottom w:val="none" w:sz="0" w:space="0" w:color="auto"/>
        <w:right w:val="none" w:sz="0" w:space="0" w:color="auto"/>
      </w:divBdr>
    </w:div>
    <w:div w:id="820662403">
      <w:bodyDiv w:val="1"/>
      <w:marLeft w:val="0"/>
      <w:marRight w:val="0"/>
      <w:marTop w:val="0"/>
      <w:marBottom w:val="0"/>
      <w:divBdr>
        <w:top w:val="none" w:sz="0" w:space="0" w:color="auto"/>
        <w:left w:val="none" w:sz="0" w:space="0" w:color="auto"/>
        <w:bottom w:val="none" w:sz="0" w:space="0" w:color="auto"/>
        <w:right w:val="none" w:sz="0" w:space="0" w:color="auto"/>
      </w:divBdr>
    </w:div>
    <w:div w:id="825363307">
      <w:bodyDiv w:val="1"/>
      <w:marLeft w:val="0"/>
      <w:marRight w:val="0"/>
      <w:marTop w:val="0"/>
      <w:marBottom w:val="0"/>
      <w:divBdr>
        <w:top w:val="none" w:sz="0" w:space="0" w:color="auto"/>
        <w:left w:val="none" w:sz="0" w:space="0" w:color="auto"/>
        <w:bottom w:val="none" w:sz="0" w:space="0" w:color="auto"/>
        <w:right w:val="none" w:sz="0" w:space="0" w:color="auto"/>
      </w:divBdr>
      <w:divsChild>
        <w:div w:id="1457869564">
          <w:marLeft w:val="0"/>
          <w:marRight w:val="0"/>
          <w:marTop w:val="0"/>
          <w:marBottom w:val="0"/>
          <w:divBdr>
            <w:top w:val="none" w:sz="0" w:space="0" w:color="auto"/>
            <w:left w:val="none" w:sz="0" w:space="0" w:color="auto"/>
            <w:bottom w:val="none" w:sz="0" w:space="0" w:color="auto"/>
            <w:right w:val="none" w:sz="0" w:space="0" w:color="auto"/>
          </w:divBdr>
          <w:divsChild>
            <w:div w:id="697587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8668569">
      <w:bodyDiv w:val="1"/>
      <w:marLeft w:val="0"/>
      <w:marRight w:val="0"/>
      <w:marTop w:val="0"/>
      <w:marBottom w:val="0"/>
      <w:divBdr>
        <w:top w:val="none" w:sz="0" w:space="0" w:color="auto"/>
        <w:left w:val="none" w:sz="0" w:space="0" w:color="auto"/>
        <w:bottom w:val="none" w:sz="0" w:space="0" w:color="auto"/>
        <w:right w:val="none" w:sz="0" w:space="0" w:color="auto"/>
      </w:divBdr>
    </w:div>
    <w:div w:id="837384621">
      <w:bodyDiv w:val="1"/>
      <w:marLeft w:val="0"/>
      <w:marRight w:val="0"/>
      <w:marTop w:val="0"/>
      <w:marBottom w:val="0"/>
      <w:divBdr>
        <w:top w:val="none" w:sz="0" w:space="0" w:color="auto"/>
        <w:left w:val="none" w:sz="0" w:space="0" w:color="auto"/>
        <w:bottom w:val="none" w:sz="0" w:space="0" w:color="auto"/>
        <w:right w:val="none" w:sz="0" w:space="0" w:color="auto"/>
      </w:divBdr>
    </w:div>
    <w:div w:id="839388207">
      <w:bodyDiv w:val="1"/>
      <w:marLeft w:val="0"/>
      <w:marRight w:val="0"/>
      <w:marTop w:val="0"/>
      <w:marBottom w:val="0"/>
      <w:divBdr>
        <w:top w:val="none" w:sz="0" w:space="0" w:color="auto"/>
        <w:left w:val="none" w:sz="0" w:space="0" w:color="auto"/>
        <w:bottom w:val="none" w:sz="0" w:space="0" w:color="auto"/>
        <w:right w:val="none" w:sz="0" w:space="0" w:color="auto"/>
      </w:divBdr>
    </w:div>
    <w:div w:id="839809876">
      <w:bodyDiv w:val="1"/>
      <w:marLeft w:val="0"/>
      <w:marRight w:val="0"/>
      <w:marTop w:val="0"/>
      <w:marBottom w:val="0"/>
      <w:divBdr>
        <w:top w:val="none" w:sz="0" w:space="0" w:color="auto"/>
        <w:left w:val="none" w:sz="0" w:space="0" w:color="auto"/>
        <w:bottom w:val="none" w:sz="0" w:space="0" w:color="auto"/>
        <w:right w:val="none" w:sz="0" w:space="0" w:color="auto"/>
      </w:divBdr>
    </w:div>
    <w:div w:id="847794748">
      <w:bodyDiv w:val="1"/>
      <w:marLeft w:val="0"/>
      <w:marRight w:val="0"/>
      <w:marTop w:val="0"/>
      <w:marBottom w:val="0"/>
      <w:divBdr>
        <w:top w:val="none" w:sz="0" w:space="0" w:color="auto"/>
        <w:left w:val="none" w:sz="0" w:space="0" w:color="auto"/>
        <w:bottom w:val="none" w:sz="0" w:space="0" w:color="auto"/>
        <w:right w:val="none" w:sz="0" w:space="0" w:color="auto"/>
      </w:divBdr>
    </w:div>
    <w:div w:id="850488251">
      <w:bodyDiv w:val="1"/>
      <w:marLeft w:val="0"/>
      <w:marRight w:val="0"/>
      <w:marTop w:val="0"/>
      <w:marBottom w:val="0"/>
      <w:divBdr>
        <w:top w:val="none" w:sz="0" w:space="0" w:color="auto"/>
        <w:left w:val="none" w:sz="0" w:space="0" w:color="auto"/>
        <w:bottom w:val="none" w:sz="0" w:space="0" w:color="auto"/>
        <w:right w:val="none" w:sz="0" w:space="0" w:color="auto"/>
      </w:divBdr>
    </w:div>
    <w:div w:id="860240949">
      <w:bodyDiv w:val="1"/>
      <w:marLeft w:val="0"/>
      <w:marRight w:val="0"/>
      <w:marTop w:val="0"/>
      <w:marBottom w:val="0"/>
      <w:divBdr>
        <w:top w:val="none" w:sz="0" w:space="0" w:color="auto"/>
        <w:left w:val="none" w:sz="0" w:space="0" w:color="auto"/>
        <w:bottom w:val="none" w:sz="0" w:space="0" w:color="auto"/>
        <w:right w:val="none" w:sz="0" w:space="0" w:color="auto"/>
      </w:divBdr>
    </w:div>
    <w:div w:id="875197553">
      <w:bodyDiv w:val="1"/>
      <w:marLeft w:val="0"/>
      <w:marRight w:val="0"/>
      <w:marTop w:val="0"/>
      <w:marBottom w:val="0"/>
      <w:divBdr>
        <w:top w:val="none" w:sz="0" w:space="0" w:color="auto"/>
        <w:left w:val="none" w:sz="0" w:space="0" w:color="auto"/>
        <w:bottom w:val="none" w:sz="0" w:space="0" w:color="auto"/>
        <w:right w:val="none" w:sz="0" w:space="0" w:color="auto"/>
      </w:divBdr>
    </w:div>
    <w:div w:id="876114869">
      <w:bodyDiv w:val="1"/>
      <w:marLeft w:val="0"/>
      <w:marRight w:val="0"/>
      <w:marTop w:val="0"/>
      <w:marBottom w:val="0"/>
      <w:divBdr>
        <w:top w:val="none" w:sz="0" w:space="0" w:color="auto"/>
        <w:left w:val="none" w:sz="0" w:space="0" w:color="auto"/>
        <w:bottom w:val="none" w:sz="0" w:space="0" w:color="auto"/>
        <w:right w:val="none" w:sz="0" w:space="0" w:color="auto"/>
      </w:divBdr>
    </w:div>
    <w:div w:id="877159602">
      <w:bodyDiv w:val="1"/>
      <w:marLeft w:val="0"/>
      <w:marRight w:val="0"/>
      <w:marTop w:val="0"/>
      <w:marBottom w:val="0"/>
      <w:divBdr>
        <w:top w:val="none" w:sz="0" w:space="0" w:color="auto"/>
        <w:left w:val="none" w:sz="0" w:space="0" w:color="auto"/>
        <w:bottom w:val="none" w:sz="0" w:space="0" w:color="auto"/>
        <w:right w:val="none" w:sz="0" w:space="0" w:color="auto"/>
      </w:divBdr>
    </w:div>
    <w:div w:id="890307758">
      <w:bodyDiv w:val="1"/>
      <w:marLeft w:val="0"/>
      <w:marRight w:val="0"/>
      <w:marTop w:val="0"/>
      <w:marBottom w:val="0"/>
      <w:divBdr>
        <w:top w:val="none" w:sz="0" w:space="0" w:color="auto"/>
        <w:left w:val="none" w:sz="0" w:space="0" w:color="auto"/>
        <w:bottom w:val="none" w:sz="0" w:space="0" w:color="auto"/>
        <w:right w:val="none" w:sz="0" w:space="0" w:color="auto"/>
      </w:divBdr>
    </w:div>
    <w:div w:id="892890176">
      <w:bodyDiv w:val="1"/>
      <w:marLeft w:val="0"/>
      <w:marRight w:val="0"/>
      <w:marTop w:val="0"/>
      <w:marBottom w:val="0"/>
      <w:divBdr>
        <w:top w:val="none" w:sz="0" w:space="0" w:color="auto"/>
        <w:left w:val="none" w:sz="0" w:space="0" w:color="auto"/>
        <w:bottom w:val="none" w:sz="0" w:space="0" w:color="auto"/>
        <w:right w:val="none" w:sz="0" w:space="0" w:color="auto"/>
      </w:divBdr>
    </w:div>
    <w:div w:id="893199230">
      <w:bodyDiv w:val="1"/>
      <w:marLeft w:val="0"/>
      <w:marRight w:val="0"/>
      <w:marTop w:val="0"/>
      <w:marBottom w:val="0"/>
      <w:divBdr>
        <w:top w:val="none" w:sz="0" w:space="0" w:color="auto"/>
        <w:left w:val="none" w:sz="0" w:space="0" w:color="auto"/>
        <w:bottom w:val="none" w:sz="0" w:space="0" w:color="auto"/>
        <w:right w:val="none" w:sz="0" w:space="0" w:color="auto"/>
      </w:divBdr>
    </w:div>
    <w:div w:id="894701528">
      <w:bodyDiv w:val="1"/>
      <w:marLeft w:val="0"/>
      <w:marRight w:val="0"/>
      <w:marTop w:val="0"/>
      <w:marBottom w:val="0"/>
      <w:divBdr>
        <w:top w:val="none" w:sz="0" w:space="0" w:color="auto"/>
        <w:left w:val="none" w:sz="0" w:space="0" w:color="auto"/>
        <w:bottom w:val="none" w:sz="0" w:space="0" w:color="auto"/>
        <w:right w:val="none" w:sz="0" w:space="0" w:color="auto"/>
      </w:divBdr>
    </w:div>
    <w:div w:id="910427813">
      <w:bodyDiv w:val="1"/>
      <w:marLeft w:val="0"/>
      <w:marRight w:val="0"/>
      <w:marTop w:val="0"/>
      <w:marBottom w:val="0"/>
      <w:divBdr>
        <w:top w:val="none" w:sz="0" w:space="0" w:color="auto"/>
        <w:left w:val="none" w:sz="0" w:space="0" w:color="auto"/>
        <w:bottom w:val="none" w:sz="0" w:space="0" w:color="auto"/>
        <w:right w:val="none" w:sz="0" w:space="0" w:color="auto"/>
      </w:divBdr>
    </w:div>
    <w:div w:id="912130584">
      <w:bodyDiv w:val="1"/>
      <w:marLeft w:val="0"/>
      <w:marRight w:val="0"/>
      <w:marTop w:val="0"/>
      <w:marBottom w:val="0"/>
      <w:divBdr>
        <w:top w:val="none" w:sz="0" w:space="0" w:color="auto"/>
        <w:left w:val="none" w:sz="0" w:space="0" w:color="auto"/>
        <w:bottom w:val="none" w:sz="0" w:space="0" w:color="auto"/>
        <w:right w:val="none" w:sz="0" w:space="0" w:color="auto"/>
      </w:divBdr>
    </w:div>
    <w:div w:id="912667762">
      <w:bodyDiv w:val="1"/>
      <w:marLeft w:val="0"/>
      <w:marRight w:val="0"/>
      <w:marTop w:val="0"/>
      <w:marBottom w:val="0"/>
      <w:divBdr>
        <w:top w:val="none" w:sz="0" w:space="0" w:color="auto"/>
        <w:left w:val="none" w:sz="0" w:space="0" w:color="auto"/>
        <w:bottom w:val="none" w:sz="0" w:space="0" w:color="auto"/>
        <w:right w:val="none" w:sz="0" w:space="0" w:color="auto"/>
      </w:divBdr>
    </w:div>
    <w:div w:id="913322165">
      <w:bodyDiv w:val="1"/>
      <w:marLeft w:val="0"/>
      <w:marRight w:val="0"/>
      <w:marTop w:val="0"/>
      <w:marBottom w:val="0"/>
      <w:divBdr>
        <w:top w:val="none" w:sz="0" w:space="0" w:color="auto"/>
        <w:left w:val="none" w:sz="0" w:space="0" w:color="auto"/>
        <w:bottom w:val="none" w:sz="0" w:space="0" w:color="auto"/>
        <w:right w:val="none" w:sz="0" w:space="0" w:color="auto"/>
      </w:divBdr>
    </w:div>
    <w:div w:id="919675726">
      <w:bodyDiv w:val="1"/>
      <w:marLeft w:val="0"/>
      <w:marRight w:val="0"/>
      <w:marTop w:val="0"/>
      <w:marBottom w:val="0"/>
      <w:divBdr>
        <w:top w:val="none" w:sz="0" w:space="0" w:color="auto"/>
        <w:left w:val="none" w:sz="0" w:space="0" w:color="auto"/>
        <w:bottom w:val="none" w:sz="0" w:space="0" w:color="auto"/>
        <w:right w:val="none" w:sz="0" w:space="0" w:color="auto"/>
      </w:divBdr>
    </w:div>
    <w:div w:id="927619954">
      <w:bodyDiv w:val="1"/>
      <w:marLeft w:val="0"/>
      <w:marRight w:val="0"/>
      <w:marTop w:val="0"/>
      <w:marBottom w:val="0"/>
      <w:divBdr>
        <w:top w:val="none" w:sz="0" w:space="0" w:color="auto"/>
        <w:left w:val="none" w:sz="0" w:space="0" w:color="auto"/>
        <w:bottom w:val="none" w:sz="0" w:space="0" w:color="auto"/>
        <w:right w:val="none" w:sz="0" w:space="0" w:color="auto"/>
      </w:divBdr>
    </w:div>
    <w:div w:id="944994915">
      <w:bodyDiv w:val="1"/>
      <w:marLeft w:val="0"/>
      <w:marRight w:val="0"/>
      <w:marTop w:val="0"/>
      <w:marBottom w:val="0"/>
      <w:divBdr>
        <w:top w:val="none" w:sz="0" w:space="0" w:color="auto"/>
        <w:left w:val="none" w:sz="0" w:space="0" w:color="auto"/>
        <w:bottom w:val="none" w:sz="0" w:space="0" w:color="auto"/>
        <w:right w:val="none" w:sz="0" w:space="0" w:color="auto"/>
      </w:divBdr>
      <w:divsChild>
        <w:div w:id="962082498">
          <w:marLeft w:val="0"/>
          <w:marRight w:val="0"/>
          <w:marTop w:val="0"/>
          <w:marBottom w:val="0"/>
          <w:divBdr>
            <w:top w:val="none" w:sz="0" w:space="0" w:color="auto"/>
            <w:left w:val="none" w:sz="0" w:space="0" w:color="auto"/>
            <w:bottom w:val="none" w:sz="0" w:space="0" w:color="auto"/>
            <w:right w:val="none" w:sz="0" w:space="0" w:color="auto"/>
          </w:divBdr>
          <w:divsChild>
            <w:div w:id="1637447696">
              <w:marLeft w:val="4332"/>
              <w:marRight w:val="0"/>
              <w:marTop w:val="0"/>
              <w:marBottom w:val="0"/>
              <w:divBdr>
                <w:top w:val="none" w:sz="0" w:space="0" w:color="auto"/>
                <w:left w:val="none" w:sz="0" w:space="0" w:color="auto"/>
                <w:bottom w:val="none" w:sz="0" w:space="0" w:color="auto"/>
                <w:right w:val="none" w:sz="0" w:space="0" w:color="auto"/>
              </w:divBdr>
              <w:divsChild>
                <w:div w:id="314919617">
                  <w:marLeft w:val="0"/>
                  <w:marRight w:val="0"/>
                  <w:marTop w:val="0"/>
                  <w:marBottom w:val="0"/>
                  <w:divBdr>
                    <w:top w:val="none" w:sz="0" w:space="0" w:color="auto"/>
                    <w:left w:val="none" w:sz="0" w:space="0" w:color="auto"/>
                    <w:bottom w:val="none" w:sz="0" w:space="0" w:color="auto"/>
                    <w:right w:val="none" w:sz="0" w:space="0" w:color="auto"/>
                  </w:divBdr>
                  <w:divsChild>
                    <w:div w:id="143931343">
                      <w:marLeft w:val="0"/>
                      <w:marRight w:val="0"/>
                      <w:marTop w:val="0"/>
                      <w:marBottom w:val="0"/>
                      <w:divBdr>
                        <w:top w:val="none" w:sz="0" w:space="0" w:color="auto"/>
                        <w:left w:val="none" w:sz="0" w:space="0" w:color="auto"/>
                        <w:bottom w:val="none" w:sz="0" w:space="0" w:color="auto"/>
                        <w:right w:val="none" w:sz="0" w:space="0" w:color="auto"/>
                      </w:divBdr>
                      <w:divsChild>
                        <w:div w:id="1059212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6695681">
      <w:bodyDiv w:val="1"/>
      <w:marLeft w:val="0"/>
      <w:marRight w:val="0"/>
      <w:marTop w:val="0"/>
      <w:marBottom w:val="0"/>
      <w:divBdr>
        <w:top w:val="none" w:sz="0" w:space="0" w:color="auto"/>
        <w:left w:val="none" w:sz="0" w:space="0" w:color="auto"/>
        <w:bottom w:val="none" w:sz="0" w:space="0" w:color="auto"/>
        <w:right w:val="none" w:sz="0" w:space="0" w:color="auto"/>
      </w:divBdr>
      <w:divsChild>
        <w:div w:id="1804689760">
          <w:marLeft w:val="0"/>
          <w:marRight w:val="0"/>
          <w:marTop w:val="0"/>
          <w:marBottom w:val="0"/>
          <w:divBdr>
            <w:top w:val="none" w:sz="0" w:space="0" w:color="auto"/>
            <w:left w:val="none" w:sz="0" w:space="0" w:color="auto"/>
            <w:bottom w:val="none" w:sz="0" w:space="0" w:color="auto"/>
            <w:right w:val="none" w:sz="0" w:space="0" w:color="auto"/>
          </w:divBdr>
          <w:divsChild>
            <w:div w:id="483275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220118">
      <w:bodyDiv w:val="1"/>
      <w:marLeft w:val="0"/>
      <w:marRight w:val="0"/>
      <w:marTop w:val="0"/>
      <w:marBottom w:val="0"/>
      <w:divBdr>
        <w:top w:val="none" w:sz="0" w:space="0" w:color="auto"/>
        <w:left w:val="none" w:sz="0" w:space="0" w:color="auto"/>
        <w:bottom w:val="none" w:sz="0" w:space="0" w:color="auto"/>
        <w:right w:val="none" w:sz="0" w:space="0" w:color="auto"/>
      </w:divBdr>
    </w:div>
    <w:div w:id="959805334">
      <w:bodyDiv w:val="1"/>
      <w:marLeft w:val="0"/>
      <w:marRight w:val="0"/>
      <w:marTop w:val="0"/>
      <w:marBottom w:val="0"/>
      <w:divBdr>
        <w:top w:val="none" w:sz="0" w:space="0" w:color="auto"/>
        <w:left w:val="none" w:sz="0" w:space="0" w:color="auto"/>
        <w:bottom w:val="none" w:sz="0" w:space="0" w:color="auto"/>
        <w:right w:val="none" w:sz="0" w:space="0" w:color="auto"/>
      </w:divBdr>
    </w:div>
    <w:div w:id="964235935">
      <w:bodyDiv w:val="1"/>
      <w:marLeft w:val="0"/>
      <w:marRight w:val="0"/>
      <w:marTop w:val="0"/>
      <w:marBottom w:val="0"/>
      <w:divBdr>
        <w:top w:val="none" w:sz="0" w:space="0" w:color="auto"/>
        <w:left w:val="none" w:sz="0" w:space="0" w:color="auto"/>
        <w:bottom w:val="none" w:sz="0" w:space="0" w:color="auto"/>
        <w:right w:val="none" w:sz="0" w:space="0" w:color="auto"/>
      </w:divBdr>
    </w:div>
    <w:div w:id="966667399">
      <w:bodyDiv w:val="1"/>
      <w:marLeft w:val="0"/>
      <w:marRight w:val="0"/>
      <w:marTop w:val="0"/>
      <w:marBottom w:val="0"/>
      <w:divBdr>
        <w:top w:val="none" w:sz="0" w:space="0" w:color="auto"/>
        <w:left w:val="none" w:sz="0" w:space="0" w:color="auto"/>
        <w:bottom w:val="none" w:sz="0" w:space="0" w:color="auto"/>
        <w:right w:val="none" w:sz="0" w:space="0" w:color="auto"/>
      </w:divBdr>
    </w:div>
    <w:div w:id="970478302">
      <w:bodyDiv w:val="1"/>
      <w:marLeft w:val="0"/>
      <w:marRight w:val="0"/>
      <w:marTop w:val="0"/>
      <w:marBottom w:val="0"/>
      <w:divBdr>
        <w:top w:val="none" w:sz="0" w:space="0" w:color="auto"/>
        <w:left w:val="none" w:sz="0" w:space="0" w:color="auto"/>
        <w:bottom w:val="none" w:sz="0" w:space="0" w:color="auto"/>
        <w:right w:val="none" w:sz="0" w:space="0" w:color="auto"/>
      </w:divBdr>
    </w:div>
    <w:div w:id="977032240">
      <w:bodyDiv w:val="1"/>
      <w:marLeft w:val="0"/>
      <w:marRight w:val="0"/>
      <w:marTop w:val="0"/>
      <w:marBottom w:val="0"/>
      <w:divBdr>
        <w:top w:val="none" w:sz="0" w:space="0" w:color="auto"/>
        <w:left w:val="none" w:sz="0" w:space="0" w:color="auto"/>
        <w:bottom w:val="none" w:sz="0" w:space="0" w:color="auto"/>
        <w:right w:val="none" w:sz="0" w:space="0" w:color="auto"/>
      </w:divBdr>
    </w:div>
    <w:div w:id="982007197">
      <w:bodyDiv w:val="1"/>
      <w:marLeft w:val="0"/>
      <w:marRight w:val="0"/>
      <w:marTop w:val="0"/>
      <w:marBottom w:val="0"/>
      <w:divBdr>
        <w:top w:val="none" w:sz="0" w:space="0" w:color="auto"/>
        <w:left w:val="none" w:sz="0" w:space="0" w:color="auto"/>
        <w:bottom w:val="none" w:sz="0" w:space="0" w:color="auto"/>
        <w:right w:val="none" w:sz="0" w:space="0" w:color="auto"/>
      </w:divBdr>
    </w:div>
    <w:div w:id="987561996">
      <w:bodyDiv w:val="1"/>
      <w:marLeft w:val="0"/>
      <w:marRight w:val="0"/>
      <w:marTop w:val="0"/>
      <w:marBottom w:val="0"/>
      <w:divBdr>
        <w:top w:val="none" w:sz="0" w:space="0" w:color="auto"/>
        <w:left w:val="none" w:sz="0" w:space="0" w:color="auto"/>
        <w:bottom w:val="none" w:sz="0" w:space="0" w:color="auto"/>
        <w:right w:val="none" w:sz="0" w:space="0" w:color="auto"/>
      </w:divBdr>
    </w:div>
    <w:div w:id="988898306">
      <w:bodyDiv w:val="1"/>
      <w:marLeft w:val="0"/>
      <w:marRight w:val="0"/>
      <w:marTop w:val="0"/>
      <w:marBottom w:val="0"/>
      <w:divBdr>
        <w:top w:val="none" w:sz="0" w:space="0" w:color="auto"/>
        <w:left w:val="none" w:sz="0" w:space="0" w:color="auto"/>
        <w:bottom w:val="none" w:sz="0" w:space="0" w:color="auto"/>
        <w:right w:val="none" w:sz="0" w:space="0" w:color="auto"/>
      </w:divBdr>
    </w:div>
    <w:div w:id="989285508">
      <w:bodyDiv w:val="1"/>
      <w:marLeft w:val="0"/>
      <w:marRight w:val="0"/>
      <w:marTop w:val="0"/>
      <w:marBottom w:val="0"/>
      <w:divBdr>
        <w:top w:val="none" w:sz="0" w:space="0" w:color="auto"/>
        <w:left w:val="none" w:sz="0" w:space="0" w:color="auto"/>
        <w:bottom w:val="none" w:sz="0" w:space="0" w:color="auto"/>
        <w:right w:val="none" w:sz="0" w:space="0" w:color="auto"/>
      </w:divBdr>
    </w:div>
    <w:div w:id="994919219">
      <w:bodyDiv w:val="1"/>
      <w:marLeft w:val="0"/>
      <w:marRight w:val="0"/>
      <w:marTop w:val="0"/>
      <w:marBottom w:val="0"/>
      <w:divBdr>
        <w:top w:val="none" w:sz="0" w:space="0" w:color="auto"/>
        <w:left w:val="none" w:sz="0" w:space="0" w:color="auto"/>
        <w:bottom w:val="none" w:sz="0" w:space="0" w:color="auto"/>
        <w:right w:val="none" w:sz="0" w:space="0" w:color="auto"/>
      </w:divBdr>
    </w:div>
    <w:div w:id="996613104">
      <w:bodyDiv w:val="1"/>
      <w:marLeft w:val="0"/>
      <w:marRight w:val="0"/>
      <w:marTop w:val="0"/>
      <w:marBottom w:val="0"/>
      <w:divBdr>
        <w:top w:val="none" w:sz="0" w:space="0" w:color="auto"/>
        <w:left w:val="none" w:sz="0" w:space="0" w:color="auto"/>
        <w:bottom w:val="none" w:sz="0" w:space="0" w:color="auto"/>
        <w:right w:val="none" w:sz="0" w:space="0" w:color="auto"/>
      </w:divBdr>
    </w:div>
    <w:div w:id="1004893298">
      <w:bodyDiv w:val="1"/>
      <w:marLeft w:val="0"/>
      <w:marRight w:val="0"/>
      <w:marTop w:val="0"/>
      <w:marBottom w:val="0"/>
      <w:divBdr>
        <w:top w:val="none" w:sz="0" w:space="0" w:color="auto"/>
        <w:left w:val="none" w:sz="0" w:space="0" w:color="auto"/>
        <w:bottom w:val="none" w:sz="0" w:space="0" w:color="auto"/>
        <w:right w:val="none" w:sz="0" w:space="0" w:color="auto"/>
      </w:divBdr>
    </w:div>
    <w:div w:id="1021054470">
      <w:bodyDiv w:val="1"/>
      <w:marLeft w:val="0"/>
      <w:marRight w:val="0"/>
      <w:marTop w:val="0"/>
      <w:marBottom w:val="0"/>
      <w:divBdr>
        <w:top w:val="none" w:sz="0" w:space="0" w:color="auto"/>
        <w:left w:val="none" w:sz="0" w:space="0" w:color="auto"/>
        <w:bottom w:val="none" w:sz="0" w:space="0" w:color="auto"/>
        <w:right w:val="none" w:sz="0" w:space="0" w:color="auto"/>
      </w:divBdr>
    </w:div>
    <w:div w:id="1038966195">
      <w:bodyDiv w:val="1"/>
      <w:marLeft w:val="0"/>
      <w:marRight w:val="0"/>
      <w:marTop w:val="0"/>
      <w:marBottom w:val="0"/>
      <w:divBdr>
        <w:top w:val="none" w:sz="0" w:space="0" w:color="auto"/>
        <w:left w:val="none" w:sz="0" w:space="0" w:color="auto"/>
        <w:bottom w:val="none" w:sz="0" w:space="0" w:color="auto"/>
        <w:right w:val="none" w:sz="0" w:space="0" w:color="auto"/>
      </w:divBdr>
    </w:div>
    <w:div w:id="1041591498">
      <w:bodyDiv w:val="1"/>
      <w:marLeft w:val="0"/>
      <w:marRight w:val="0"/>
      <w:marTop w:val="0"/>
      <w:marBottom w:val="0"/>
      <w:divBdr>
        <w:top w:val="none" w:sz="0" w:space="0" w:color="auto"/>
        <w:left w:val="none" w:sz="0" w:space="0" w:color="auto"/>
        <w:bottom w:val="none" w:sz="0" w:space="0" w:color="auto"/>
        <w:right w:val="none" w:sz="0" w:space="0" w:color="auto"/>
      </w:divBdr>
    </w:div>
    <w:div w:id="1058475137">
      <w:bodyDiv w:val="1"/>
      <w:marLeft w:val="0"/>
      <w:marRight w:val="0"/>
      <w:marTop w:val="0"/>
      <w:marBottom w:val="0"/>
      <w:divBdr>
        <w:top w:val="none" w:sz="0" w:space="0" w:color="auto"/>
        <w:left w:val="none" w:sz="0" w:space="0" w:color="auto"/>
        <w:bottom w:val="none" w:sz="0" w:space="0" w:color="auto"/>
        <w:right w:val="none" w:sz="0" w:space="0" w:color="auto"/>
      </w:divBdr>
    </w:div>
    <w:div w:id="1058627539">
      <w:bodyDiv w:val="1"/>
      <w:marLeft w:val="0"/>
      <w:marRight w:val="0"/>
      <w:marTop w:val="0"/>
      <w:marBottom w:val="0"/>
      <w:divBdr>
        <w:top w:val="none" w:sz="0" w:space="0" w:color="auto"/>
        <w:left w:val="none" w:sz="0" w:space="0" w:color="auto"/>
        <w:bottom w:val="none" w:sz="0" w:space="0" w:color="auto"/>
        <w:right w:val="none" w:sz="0" w:space="0" w:color="auto"/>
      </w:divBdr>
    </w:div>
    <w:div w:id="1060834238">
      <w:bodyDiv w:val="1"/>
      <w:marLeft w:val="0"/>
      <w:marRight w:val="0"/>
      <w:marTop w:val="0"/>
      <w:marBottom w:val="0"/>
      <w:divBdr>
        <w:top w:val="none" w:sz="0" w:space="0" w:color="auto"/>
        <w:left w:val="none" w:sz="0" w:space="0" w:color="auto"/>
        <w:bottom w:val="none" w:sz="0" w:space="0" w:color="auto"/>
        <w:right w:val="none" w:sz="0" w:space="0" w:color="auto"/>
      </w:divBdr>
    </w:div>
    <w:div w:id="1061558936">
      <w:bodyDiv w:val="1"/>
      <w:marLeft w:val="0"/>
      <w:marRight w:val="0"/>
      <w:marTop w:val="0"/>
      <w:marBottom w:val="0"/>
      <w:divBdr>
        <w:top w:val="none" w:sz="0" w:space="0" w:color="auto"/>
        <w:left w:val="none" w:sz="0" w:space="0" w:color="auto"/>
        <w:bottom w:val="none" w:sz="0" w:space="0" w:color="auto"/>
        <w:right w:val="none" w:sz="0" w:space="0" w:color="auto"/>
      </w:divBdr>
    </w:div>
    <w:div w:id="1061637929">
      <w:bodyDiv w:val="1"/>
      <w:marLeft w:val="0"/>
      <w:marRight w:val="0"/>
      <w:marTop w:val="0"/>
      <w:marBottom w:val="0"/>
      <w:divBdr>
        <w:top w:val="none" w:sz="0" w:space="0" w:color="auto"/>
        <w:left w:val="none" w:sz="0" w:space="0" w:color="auto"/>
        <w:bottom w:val="none" w:sz="0" w:space="0" w:color="auto"/>
        <w:right w:val="none" w:sz="0" w:space="0" w:color="auto"/>
      </w:divBdr>
    </w:div>
    <w:div w:id="1062369206">
      <w:bodyDiv w:val="1"/>
      <w:marLeft w:val="0"/>
      <w:marRight w:val="0"/>
      <w:marTop w:val="0"/>
      <w:marBottom w:val="0"/>
      <w:divBdr>
        <w:top w:val="none" w:sz="0" w:space="0" w:color="auto"/>
        <w:left w:val="none" w:sz="0" w:space="0" w:color="auto"/>
        <w:bottom w:val="none" w:sz="0" w:space="0" w:color="auto"/>
        <w:right w:val="none" w:sz="0" w:space="0" w:color="auto"/>
      </w:divBdr>
    </w:div>
    <w:div w:id="1064186403">
      <w:bodyDiv w:val="1"/>
      <w:marLeft w:val="0"/>
      <w:marRight w:val="0"/>
      <w:marTop w:val="0"/>
      <w:marBottom w:val="0"/>
      <w:divBdr>
        <w:top w:val="none" w:sz="0" w:space="0" w:color="auto"/>
        <w:left w:val="none" w:sz="0" w:space="0" w:color="auto"/>
        <w:bottom w:val="none" w:sz="0" w:space="0" w:color="auto"/>
        <w:right w:val="none" w:sz="0" w:space="0" w:color="auto"/>
      </w:divBdr>
    </w:div>
    <w:div w:id="1067455769">
      <w:bodyDiv w:val="1"/>
      <w:marLeft w:val="0"/>
      <w:marRight w:val="0"/>
      <w:marTop w:val="0"/>
      <w:marBottom w:val="0"/>
      <w:divBdr>
        <w:top w:val="none" w:sz="0" w:space="0" w:color="auto"/>
        <w:left w:val="none" w:sz="0" w:space="0" w:color="auto"/>
        <w:bottom w:val="none" w:sz="0" w:space="0" w:color="auto"/>
        <w:right w:val="none" w:sz="0" w:space="0" w:color="auto"/>
      </w:divBdr>
    </w:div>
    <w:div w:id="1076636159">
      <w:bodyDiv w:val="1"/>
      <w:marLeft w:val="0"/>
      <w:marRight w:val="0"/>
      <w:marTop w:val="0"/>
      <w:marBottom w:val="0"/>
      <w:divBdr>
        <w:top w:val="none" w:sz="0" w:space="0" w:color="auto"/>
        <w:left w:val="none" w:sz="0" w:space="0" w:color="auto"/>
        <w:bottom w:val="none" w:sz="0" w:space="0" w:color="auto"/>
        <w:right w:val="none" w:sz="0" w:space="0" w:color="auto"/>
      </w:divBdr>
    </w:div>
    <w:div w:id="1103384809">
      <w:bodyDiv w:val="1"/>
      <w:marLeft w:val="0"/>
      <w:marRight w:val="0"/>
      <w:marTop w:val="0"/>
      <w:marBottom w:val="0"/>
      <w:divBdr>
        <w:top w:val="none" w:sz="0" w:space="0" w:color="auto"/>
        <w:left w:val="none" w:sz="0" w:space="0" w:color="auto"/>
        <w:bottom w:val="none" w:sz="0" w:space="0" w:color="auto"/>
        <w:right w:val="none" w:sz="0" w:space="0" w:color="auto"/>
      </w:divBdr>
    </w:div>
    <w:div w:id="1114902745">
      <w:bodyDiv w:val="1"/>
      <w:marLeft w:val="0"/>
      <w:marRight w:val="0"/>
      <w:marTop w:val="0"/>
      <w:marBottom w:val="0"/>
      <w:divBdr>
        <w:top w:val="none" w:sz="0" w:space="0" w:color="auto"/>
        <w:left w:val="none" w:sz="0" w:space="0" w:color="auto"/>
        <w:bottom w:val="none" w:sz="0" w:space="0" w:color="auto"/>
        <w:right w:val="none" w:sz="0" w:space="0" w:color="auto"/>
      </w:divBdr>
    </w:div>
    <w:div w:id="1120996410">
      <w:bodyDiv w:val="1"/>
      <w:marLeft w:val="0"/>
      <w:marRight w:val="0"/>
      <w:marTop w:val="0"/>
      <w:marBottom w:val="0"/>
      <w:divBdr>
        <w:top w:val="none" w:sz="0" w:space="0" w:color="auto"/>
        <w:left w:val="none" w:sz="0" w:space="0" w:color="auto"/>
        <w:bottom w:val="none" w:sz="0" w:space="0" w:color="auto"/>
        <w:right w:val="none" w:sz="0" w:space="0" w:color="auto"/>
      </w:divBdr>
    </w:div>
    <w:div w:id="1123422656">
      <w:bodyDiv w:val="1"/>
      <w:marLeft w:val="0"/>
      <w:marRight w:val="0"/>
      <w:marTop w:val="0"/>
      <w:marBottom w:val="0"/>
      <w:divBdr>
        <w:top w:val="none" w:sz="0" w:space="0" w:color="auto"/>
        <w:left w:val="none" w:sz="0" w:space="0" w:color="auto"/>
        <w:bottom w:val="none" w:sz="0" w:space="0" w:color="auto"/>
        <w:right w:val="none" w:sz="0" w:space="0" w:color="auto"/>
      </w:divBdr>
    </w:div>
    <w:div w:id="1123576826">
      <w:bodyDiv w:val="1"/>
      <w:marLeft w:val="0"/>
      <w:marRight w:val="0"/>
      <w:marTop w:val="0"/>
      <w:marBottom w:val="0"/>
      <w:divBdr>
        <w:top w:val="none" w:sz="0" w:space="0" w:color="auto"/>
        <w:left w:val="none" w:sz="0" w:space="0" w:color="auto"/>
        <w:bottom w:val="none" w:sz="0" w:space="0" w:color="auto"/>
        <w:right w:val="none" w:sz="0" w:space="0" w:color="auto"/>
      </w:divBdr>
    </w:div>
    <w:div w:id="1124079960">
      <w:bodyDiv w:val="1"/>
      <w:marLeft w:val="0"/>
      <w:marRight w:val="0"/>
      <w:marTop w:val="0"/>
      <w:marBottom w:val="0"/>
      <w:divBdr>
        <w:top w:val="none" w:sz="0" w:space="0" w:color="auto"/>
        <w:left w:val="none" w:sz="0" w:space="0" w:color="auto"/>
        <w:bottom w:val="none" w:sz="0" w:space="0" w:color="auto"/>
        <w:right w:val="none" w:sz="0" w:space="0" w:color="auto"/>
      </w:divBdr>
    </w:div>
    <w:div w:id="1130170534">
      <w:bodyDiv w:val="1"/>
      <w:marLeft w:val="0"/>
      <w:marRight w:val="0"/>
      <w:marTop w:val="0"/>
      <w:marBottom w:val="0"/>
      <w:divBdr>
        <w:top w:val="none" w:sz="0" w:space="0" w:color="auto"/>
        <w:left w:val="none" w:sz="0" w:space="0" w:color="auto"/>
        <w:bottom w:val="none" w:sz="0" w:space="0" w:color="auto"/>
        <w:right w:val="none" w:sz="0" w:space="0" w:color="auto"/>
      </w:divBdr>
    </w:div>
    <w:div w:id="1136751421">
      <w:bodyDiv w:val="1"/>
      <w:marLeft w:val="0"/>
      <w:marRight w:val="0"/>
      <w:marTop w:val="0"/>
      <w:marBottom w:val="0"/>
      <w:divBdr>
        <w:top w:val="none" w:sz="0" w:space="0" w:color="auto"/>
        <w:left w:val="none" w:sz="0" w:space="0" w:color="auto"/>
        <w:bottom w:val="none" w:sz="0" w:space="0" w:color="auto"/>
        <w:right w:val="none" w:sz="0" w:space="0" w:color="auto"/>
      </w:divBdr>
    </w:div>
    <w:div w:id="1146975886">
      <w:bodyDiv w:val="1"/>
      <w:marLeft w:val="0"/>
      <w:marRight w:val="0"/>
      <w:marTop w:val="0"/>
      <w:marBottom w:val="0"/>
      <w:divBdr>
        <w:top w:val="none" w:sz="0" w:space="0" w:color="auto"/>
        <w:left w:val="none" w:sz="0" w:space="0" w:color="auto"/>
        <w:bottom w:val="none" w:sz="0" w:space="0" w:color="auto"/>
        <w:right w:val="none" w:sz="0" w:space="0" w:color="auto"/>
      </w:divBdr>
    </w:div>
    <w:div w:id="1163470841">
      <w:bodyDiv w:val="1"/>
      <w:marLeft w:val="0"/>
      <w:marRight w:val="0"/>
      <w:marTop w:val="0"/>
      <w:marBottom w:val="0"/>
      <w:divBdr>
        <w:top w:val="none" w:sz="0" w:space="0" w:color="auto"/>
        <w:left w:val="none" w:sz="0" w:space="0" w:color="auto"/>
        <w:bottom w:val="none" w:sz="0" w:space="0" w:color="auto"/>
        <w:right w:val="none" w:sz="0" w:space="0" w:color="auto"/>
      </w:divBdr>
    </w:div>
    <w:div w:id="1183973815">
      <w:bodyDiv w:val="1"/>
      <w:marLeft w:val="0"/>
      <w:marRight w:val="0"/>
      <w:marTop w:val="0"/>
      <w:marBottom w:val="0"/>
      <w:divBdr>
        <w:top w:val="none" w:sz="0" w:space="0" w:color="auto"/>
        <w:left w:val="none" w:sz="0" w:space="0" w:color="auto"/>
        <w:bottom w:val="none" w:sz="0" w:space="0" w:color="auto"/>
        <w:right w:val="none" w:sz="0" w:space="0" w:color="auto"/>
      </w:divBdr>
    </w:div>
    <w:div w:id="1186602021">
      <w:bodyDiv w:val="1"/>
      <w:marLeft w:val="0"/>
      <w:marRight w:val="0"/>
      <w:marTop w:val="0"/>
      <w:marBottom w:val="0"/>
      <w:divBdr>
        <w:top w:val="none" w:sz="0" w:space="0" w:color="auto"/>
        <w:left w:val="none" w:sz="0" w:space="0" w:color="auto"/>
        <w:bottom w:val="none" w:sz="0" w:space="0" w:color="auto"/>
        <w:right w:val="none" w:sz="0" w:space="0" w:color="auto"/>
      </w:divBdr>
    </w:div>
    <w:div w:id="1199855893">
      <w:bodyDiv w:val="1"/>
      <w:marLeft w:val="0"/>
      <w:marRight w:val="0"/>
      <w:marTop w:val="0"/>
      <w:marBottom w:val="0"/>
      <w:divBdr>
        <w:top w:val="none" w:sz="0" w:space="0" w:color="auto"/>
        <w:left w:val="none" w:sz="0" w:space="0" w:color="auto"/>
        <w:bottom w:val="none" w:sz="0" w:space="0" w:color="auto"/>
        <w:right w:val="none" w:sz="0" w:space="0" w:color="auto"/>
      </w:divBdr>
    </w:div>
    <w:div w:id="1202594719">
      <w:bodyDiv w:val="1"/>
      <w:marLeft w:val="0"/>
      <w:marRight w:val="0"/>
      <w:marTop w:val="0"/>
      <w:marBottom w:val="0"/>
      <w:divBdr>
        <w:top w:val="none" w:sz="0" w:space="0" w:color="auto"/>
        <w:left w:val="none" w:sz="0" w:space="0" w:color="auto"/>
        <w:bottom w:val="none" w:sz="0" w:space="0" w:color="auto"/>
        <w:right w:val="none" w:sz="0" w:space="0" w:color="auto"/>
      </w:divBdr>
    </w:div>
    <w:div w:id="1203634406">
      <w:bodyDiv w:val="1"/>
      <w:marLeft w:val="0"/>
      <w:marRight w:val="0"/>
      <w:marTop w:val="0"/>
      <w:marBottom w:val="0"/>
      <w:divBdr>
        <w:top w:val="none" w:sz="0" w:space="0" w:color="auto"/>
        <w:left w:val="none" w:sz="0" w:space="0" w:color="auto"/>
        <w:bottom w:val="none" w:sz="0" w:space="0" w:color="auto"/>
        <w:right w:val="none" w:sz="0" w:space="0" w:color="auto"/>
      </w:divBdr>
    </w:div>
    <w:div w:id="1217158343">
      <w:bodyDiv w:val="1"/>
      <w:marLeft w:val="0"/>
      <w:marRight w:val="0"/>
      <w:marTop w:val="0"/>
      <w:marBottom w:val="0"/>
      <w:divBdr>
        <w:top w:val="none" w:sz="0" w:space="0" w:color="auto"/>
        <w:left w:val="none" w:sz="0" w:space="0" w:color="auto"/>
        <w:bottom w:val="none" w:sz="0" w:space="0" w:color="auto"/>
        <w:right w:val="none" w:sz="0" w:space="0" w:color="auto"/>
      </w:divBdr>
    </w:div>
    <w:div w:id="1220284430">
      <w:bodyDiv w:val="1"/>
      <w:marLeft w:val="0"/>
      <w:marRight w:val="0"/>
      <w:marTop w:val="0"/>
      <w:marBottom w:val="0"/>
      <w:divBdr>
        <w:top w:val="none" w:sz="0" w:space="0" w:color="auto"/>
        <w:left w:val="none" w:sz="0" w:space="0" w:color="auto"/>
        <w:bottom w:val="none" w:sz="0" w:space="0" w:color="auto"/>
        <w:right w:val="none" w:sz="0" w:space="0" w:color="auto"/>
      </w:divBdr>
    </w:div>
    <w:div w:id="1224635279">
      <w:bodyDiv w:val="1"/>
      <w:marLeft w:val="0"/>
      <w:marRight w:val="0"/>
      <w:marTop w:val="0"/>
      <w:marBottom w:val="0"/>
      <w:divBdr>
        <w:top w:val="none" w:sz="0" w:space="0" w:color="auto"/>
        <w:left w:val="none" w:sz="0" w:space="0" w:color="auto"/>
        <w:bottom w:val="none" w:sz="0" w:space="0" w:color="auto"/>
        <w:right w:val="none" w:sz="0" w:space="0" w:color="auto"/>
      </w:divBdr>
    </w:div>
    <w:div w:id="1235428980">
      <w:bodyDiv w:val="1"/>
      <w:marLeft w:val="0"/>
      <w:marRight w:val="0"/>
      <w:marTop w:val="0"/>
      <w:marBottom w:val="0"/>
      <w:divBdr>
        <w:top w:val="none" w:sz="0" w:space="0" w:color="auto"/>
        <w:left w:val="none" w:sz="0" w:space="0" w:color="auto"/>
        <w:bottom w:val="none" w:sz="0" w:space="0" w:color="auto"/>
        <w:right w:val="none" w:sz="0" w:space="0" w:color="auto"/>
      </w:divBdr>
    </w:div>
    <w:div w:id="1244416480">
      <w:bodyDiv w:val="1"/>
      <w:marLeft w:val="0"/>
      <w:marRight w:val="0"/>
      <w:marTop w:val="0"/>
      <w:marBottom w:val="0"/>
      <w:divBdr>
        <w:top w:val="none" w:sz="0" w:space="0" w:color="auto"/>
        <w:left w:val="none" w:sz="0" w:space="0" w:color="auto"/>
        <w:bottom w:val="none" w:sz="0" w:space="0" w:color="auto"/>
        <w:right w:val="none" w:sz="0" w:space="0" w:color="auto"/>
      </w:divBdr>
    </w:div>
    <w:div w:id="1252279298">
      <w:bodyDiv w:val="1"/>
      <w:marLeft w:val="0"/>
      <w:marRight w:val="0"/>
      <w:marTop w:val="0"/>
      <w:marBottom w:val="0"/>
      <w:divBdr>
        <w:top w:val="none" w:sz="0" w:space="0" w:color="auto"/>
        <w:left w:val="none" w:sz="0" w:space="0" w:color="auto"/>
        <w:bottom w:val="none" w:sz="0" w:space="0" w:color="auto"/>
        <w:right w:val="none" w:sz="0" w:space="0" w:color="auto"/>
      </w:divBdr>
    </w:div>
    <w:div w:id="1259099658">
      <w:bodyDiv w:val="1"/>
      <w:marLeft w:val="0"/>
      <w:marRight w:val="0"/>
      <w:marTop w:val="0"/>
      <w:marBottom w:val="0"/>
      <w:divBdr>
        <w:top w:val="none" w:sz="0" w:space="0" w:color="auto"/>
        <w:left w:val="none" w:sz="0" w:space="0" w:color="auto"/>
        <w:bottom w:val="none" w:sz="0" w:space="0" w:color="auto"/>
        <w:right w:val="none" w:sz="0" w:space="0" w:color="auto"/>
      </w:divBdr>
    </w:div>
    <w:div w:id="1259171148">
      <w:bodyDiv w:val="1"/>
      <w:marLeft w:val="0"/>
      <w:marRight w:val="0"/>
      <w:marTop w:val="0"/>
      <w:marBottom w:val="0"/>
      <w:divBdr>
        <w:top w:val="none" w:sz="0" w:space="0" w:color="auto"/>
        <w:left w:val="none" w:sz="0" w:space="0" w:color="auto"/>
        <w:bottom w:val="none" w:sz="0" w:space="0" w:color="auto"/>
        <w:right w:val="none" w:sz="0" w:space="0" w:color="auto"/>
      </w:divBdr>
    </w:div>
    <w:div w:id="1268853047">
      <w:bodyDiv w:val="1"/>
      <w:marLeft w:val="0"/>
      <w:marRight w:val="0"/>
      <w:marTop w:val="0"/>
      <w:marBottom w:val="0"/>
      <w:divBdr>
        <w:top w:val="none" w:sz="0" w:space="0" w:color="auto"/>
        <w:left w:val="none" w:sz="0" w:space="0" w:color="auto"/>
        <w:bottom w:val="none" w:sz="0" w:space="0" w:color="auto"/>
        <w:right w:val="none" w:sz="0" w:space="0" w:color="auto"/>
      </w:divBdr>
    </w:div>
    <w:div w:id="1275795174">
      <w:bodyDiv w:val="1"/>
      <w:marLeft w:val="0"/>
      <w:marRight w:val="0"/>
      <w:marTop w:val="0"/>
      <w:marBottom w:val="0"/>
      <w:divBdr>
        <w:top w:val="none" w:sz="0" w:space="0" w:color="auto"/>
        <w:left w:val="none" w:sz="0" w:space="0" w:color="auto"/>
        <w:bottom w:val="none" w:sz="0" w:space="0" w:color="auto"/>
        <w:right w:val="none" w:sz="0" w:space="0" w:color="auto"/>
      </w:divBdr>
    </w:div>
    <w:div w:id="1278562896">
      <w:bodyDiv w:val="1"/>
      <w:marLeft w:val="0"/>
      <w:marRight w:val="0"/>
      <w:marTop w:val="0"/>
      <w:marBottom w:val="0"/>
      <w:divBdr>
        <w:top w:val="none" w:sz="0" w:space="0" w:color="auto"/>
        <w:left w:val="none" w:sz="0" w:space="0" w:color="auto"/>
        <w:bottom w:val="none" w:sz="0" w:space="0" w:color="auto"/>
        <w:right w:val="none" w:sz="0" w:space="0" w:color="auto"/>
      </w:divBdr>
    </w:div>
    <w:div w:id="1285891257">
      <w:bodyDiv w:val="1"/>
      <w:marLeft w:val="0"/>
      <w:marRight w:val="0"/>
      <w:marTop w:val="0"/>
      <w:marBottom w:val="0"/>
      <w:divBdr>
        <w:top w:val="none" w:sz="0" w:space="0" w:color="auto"/>
        <w:left w:val="none" w:sz="0" w:space="0" w:color="auto"/>
        <w:bottom w:val="none" w:sz="0" w:space="0" w:color="auto"/>
        <w:right w:val="none" w:sz="0" w:space="0" w:color="auto"/>
      </w:divBdr>
    </w:div>
    <w:div w:id="1294366381">
      <w:bodyDiv w:val="1"/>
      <w:marLeft w:val="0"/>
      <w:marRight w:val="0"/>
      <w:marTop w:val="0"/>
      <w:marBottom w:val="0"/>
      <w:divBdr>
        <w:top w:val="none" w:sz="0" w:space="0" w:color="auto"/>
        <w:left w:val="none" w:sz="0" w:space="0" w:color="auto"/>
        <w:bottom w:val="none" w:sz="0" w:space="0" w:color="auto"/>
        <w:right w:val="none" w:sz="0" w:space="0" w:color="auto"/>
      </w:divBdr>
    </w:div>
    <w:div w:id="1297566041">
      <w:bodyDiv w:val="1"/>
      <w:marLeft w:val="0"/>
      <w:marRight w:val="0"/>
      <w:marTop w:val="0"/>
      <w:marBottom w:val="0"/>
      <w:divBdr>
        <w:top w:val="none" w:sz="0" w:space="0" w:color="auto"/>
        <w:left w:val="none" w:sz="0" w:space="0" w:color="auto"/>
        <w:bottom w:val="none" w:sz="0" w:space="0" w:color="auto"/>
        <w:right w:val="none" w:sz="0" w:space="0" w:color="auto"/>
      </w:divBdr>
    </w:div>
    <w:div w:id="1304384372">
      <w:bodyDiv w:val="1"/>
      <w:marLeft w:val="0"/>
      <w:marRight w:val="0"/>
      <w:marTop w:val="0"/>
      <w:marBottom w:val="0"/>
      <w:divBdr>
        <w:top w:val="none" w:sz="0" w:space="0" w:color="auto"/>
        <w:left w:val="none" w:sz="0" w:space="0" w:color="auto"/>
        <w:bottom w:val="none" w:sz="0" w:space="0" w:color="auto"/>
        <w:right w:val="none" w:sz="0" w:space="0" w:color="auto"/>
      </w:divBdr>
    </w:div>
    <w:div w:id="1307588922">
      <w:bodyDiv w:val="1"/>
      <w:marLeft w:val="0"/>
      <w:marRight w:val="0"/>
      <w:marTop w:val="0"/>
      <w:marBottom w:val="0"/>
      <w:divBdr>
        <w:top w:val="none" w:sz="0" w:space="0" w:color="auto"/>
        <w:left w:val="none" w:sz="0" w:space="0" w:color="auto"/>
        <w:bottom w:val="none" w:sz="0" w:space="0" w:color="auto"/>
        <w:right w:val="none" w:sz="0" w:space="0" w:color="auto"/>
      </w:divBdr>
    </w:div>
    <w:div w:id="1310211185">
      <w:bodyDiv w:val="1"/>
      <w:marLeft w:val="0"/>
      <w:marRight w:val="0"/>
      <w:marTop w:val="0"/>
      <w:marBottom w:val="0"/>
      <w:divBdr>
        <w:top w:val="none" w:sz="0" w:space="0" w:color="auto"/>
        <w:left w:val="none" w:sz="0" w:space="0" w:color="auto"/>
        <w:bottom w:val="none" w:sz="0" w:space="0" w:color="auto"/>
        <w:right w:val="none" w:sz="0" w:space="0" w:color="auto"/>
      </w:divBdr>
    </w:div>
    <w:div w:id="1310359434">
      <w:bodyDiv w:val="1"/>
      <w:marLeft w:val="0"/>
      <w:marRight w:val="0"/>
      <w:marTop w:val="0"/>
      <w:marBottom w:val="0"/>
      <w:divBdr>
        <w:top w:val="none" w:sz="0" w:space="0" w:color="auto"/>
        <w:left w:val="none" w:sz="0" w:space="0" w:color="auto"/>
        <w:bottom w:val="none" w:sz="0" w:space="0" w:color="auto"/>
        <w:right w:val="none" w:sz="0" w:space="0" w:color="auto"/>
      </w:divBdr>
    </w:div>
    <w:div w:id="1312827738">
      <w:bodyDiv w:val="1"/>
      <w:marLeft w:val="0"/>
      <w:marRight w:val="0"/>
      <w:marTop w:val="0"/>
      <w:marBottom w:val="0"/>
      <w:divBdr>
        <w:top w:val="none" w:sz="0" w:space="0" w:color="auto"/>
        <w:left w:val="none" w:sz="0" w:space="0" w:color="auto"/>
        <w:bottom w:val="none" w:sz="0" w:space="0" w:color="auto"/>
        <w:right w:val="none" w:sz="0" w:space="0" w:color="auto"/>
      </w:divBdr>
    </w:div>
    <w:div w:id="1316761659">
      <w:bodyDiv w:val="1"/>
      <w:marLeft w:val="0"/>
      <w:marRight w:val="0"/>
      <w:marTop w:val="0"/>
      <w:marBottom w:val="0"/>
      <w:divBdr>
        <w:top w:val="none" w:sz="0" w:space="0" w:color="auto"/>
        <w:left w:val="none" w:sz="0" w:space="0" w:color="auto"/>
        <w:bottom w:val="none" w:sz="0" w:space="0" w:color="auto"/>
        <w:right w:val="none" w:sz="0" w:space="0" w:color="auto"/>
      </w:divBdr>
    </w:div>
    <w:div w:id="1318151406">
      <w:bodyDiv w:val="1"/>
      <w:marLeft w:val="0"/>
      <w:marRight w:val="0"/>
      <w:marTop w:val="0"/>
      <w:marBottom w:val="0"/>
      <w:divBdr>
        <w:top w:val="none" w:sz="0" w:space="0" w:color="auto"/>
        <w:left w:val="none" w:sz="0" w:space="0" w:color="auto"/>
        <w:bottom w:val="none" w:sz="0" w:space="0" w:color="auto"/>
        <w:right w:val="none" w:sz="0" w:space="0" w:color="auto"/>
      </w:divBdr>
    </w:div>
    <w:div w:id="1319921793">
      <w:bodyDiv w:val="1"/>
      <w:marLeft w:val="0"/>
      <w:marRight w:val="0"/>
      <w:marTop w:val="0"/>
      <w:marBottom w:val="0"/>
      <w:divBdr>
        <w:top w:val="none" w:sz="0" w:space="0" w:color="auto"/>
        <w:left w:val="none" w:sz="0" w:space="0" w:color="auto"/>
        <w:bottom w:val="none" w:sz="0" w:space="0" w:color="auto"/>
        <w:right w:val="none" w:sz="0" w:space="0" w:color="auto"/>
      </w:divBdr>
    </w:div>
    <w:div w:id="1321621904">
      <w:bodyDiv w:val="1"/>
      <w:marLeft w:val="0"/>
      <w:marRight w:val="0"/>
      <w:marTop w:val="0"/>
      <w:marBottom w:val="0"/>
      <w:divBdr>
        <w:top w:val="none" w:sz="0" w:space="0" w:color="auto"/>
        <w:left w:val="none" w:sz="0" w:space="0" w:color="auto"/>
        <w:bottom w:val="none" w:sz="0" w:space="0" w:color="auto"/>
        <w:right w:val="none" w:sz="0" w:space="0" w:color="auto"/>
      </w:divBdr>
    </w:div>
    <w:div w:id="1324430152">
      <w:bodyDiv w:val="1"/>
      <w:marLeft w:val="0"/>
      <w:marRight w:val="0"/>
      <w:marTop w:val="0"/>
      <w:marBottom w:val="0"/>
      <w:divBdr>
        <w:top w:val="none" w:sz="0" w:space="0" w:color="auto"/>
        <w:left w:val="none" w:sz="0" w:space="0" w:color="auto"/>
        <w:bottom w:val="none" w:sz="0" w:space="0" w:color="auto"/>
        <w:right w:val="none" w:sz="0" w:space="0" w:color="auto"/>
      </w:divBdr>
    </w:div>
    <w:div w:id="1330213036">
      <w:bodyDiv w:val="1"/>
      <w:marLeft w:val="0"/>
      <w:marRight w:val="0"/>
      <w:marTop w:val="0"/>
      <w:marBottom w:val="0"/>
      <w:divBdr>
        <w:top w:val="none" w:sz="0" w:space="0" w:color="auto"/>
        <w:left w:val="none" w:sz="0" w:space="0" w:color="auto"/>
        <w:bottom w:val="none" w:sz="0" w:space="0" w:color="auto"/>
        <w:right w:val="none" w:sz="0" w:space="0" w:color="auto"/>
      </w:divBdr>
    </w:div>
    <w:div w:id="1330643436">
      <w:bodyDiv w:val="1"/>
      <w:marLeft w:val="0"/>
      <w:marRight w:val="0"/>
      <w:marTop w:val="0"/>
      <w:marBottom w:val="0"/>
      <w:divBdr>
        <w:top w:val="none" w:sz="0" w:space="0" w:color="auto"/>
        <w:left w:val="none" w:sz="0" w:space="0" w:color="auto"/>
        <w:bottom w:val="none" w:sz="0" w:space="0" w:color="auto"/>
        <w:right w:val="none" w:sz="0" w:space="0" w:color="auto"/>
      </w:divBdr>
      <w:divsChild>
        <w:div w:id="1259408987">
          <w:marLeft w:val="0"/>
          <w:marRight w:val="0"/>
          <w:marTop w:val="0"/>
          <w:marBottom w:val="0"/>
          <w:divBdr>
            <w:top w:val="none" w:sz="0" w:space="0" w:color="auto"/>
            <w:left w:val="none" w:sz="0" w:space="0" w:color="auto"/>
            <w:bottom w:val="none" w:sz="0" w:space="0" w:color="auto"/>
            <w:right w:val="none" w:sz="0" w:space="0" w:color="auto"/>
          </w:divBdr>
          <w:divsChild>
            <w:div w:id="374740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1525157">
      <w:bodyDiv w:val="1"/>
      <w:marLeft w:val="0"/>
      <w:marRight w:val="0"/>
      <w:marTop w:val="0"/>
      <w:marBottom w:val="0"/>
      <w:divBdr>
        <w:top w:val="none" w:sz="0" w:space="0" w:color="auto"/>
        <w:left w:val="none" w:sz="0" w:space="0" w:color="auto"/>
        <w:bottom w:val="none" w:sz="0" w:space="0" w:color="auto"/>
        <w:right w:val="none" w:sz="0" w:space="0" w:color="auto"/>
      </w:divBdr>
    </w:div>
    <w:div w:id="1344821347">
      <w:bodyDiv w:val="1"/>
      <w:marLeft w:val="0"/>
      <w:marRight w:val="0"/>
      <w:marTop w:val="0"/>
      <w:marBottom w:val="0"/>
      <w:divBdr>
        <w:top w:val="none" w:sz="0" w:space="0" w:color="auto"/>
        <w:left w:val="none" w:sz="0" w:space="0" w:color="auto"/>
        <w:bottom w:val="none" w:sz="0" w:space="0" w:color="auto"/>
        <w:right w:val="none" w:sz="0" w:space="0" w:color="auto"/>
      </w:divBdr>
    </w:div>
    <w:div w:id="1346785677">
      <w:bodyDiv w:val="1"/>
      <w:marLeft w:val="0"/>
      <w:marRight w:val="0"/>
      <w:marTop w:val="0"/>
      <w:marBottom w:val="0"/>
      <w:divBdr>
        <w:top w:val="none" w:sz="0" w:space="0" w:color="auto"/>
        <w:left w:val="none" w:sz="0" w:space="0" w:color="auto"/>
        <w:bottom w:val="none" w:sz="0" w:space="0" w:color="auto"/>
        <w:right w:val="none" w:sz="0" w:space="0" w:color="auto"/>
      </w:divBdr>
    </w:div>
    <w:div w:id="1357805390">
      <w:bodyDiv w:val="1"/>
      <w:marLeft w:val="0"/>
      <w:marRight w:val="0"/>
      <w:marTop w:val="0"/>
      <w:marBottom w:val="0"/>
      <w:divBdr>
        <w:top w:val="none" w:sz="0" w:space="0" w:color="auto"/>
        <w:left w:val="none" w:sz="0" w:space="0" w:color="auto"/>
        <w:bottom w:val="none" w:sz="0" w:space="0" w:color="auto"/>
        <w:right w:val="none" w:sz="0" w:space="0" w:color="auto"/>
      </w:divBdr>
    </w:div>
    <w:div w:id="1361200394">
      <w:bodyDiv w:val="1"/>
      <w:marLeft w:val="0"/>
      <w:marRight w:val="0"/>
      <w:marTop w:val="0"/>
      <w:marBottom w:val="0"/>
      <w:divBdr>
        <w:top w:val="none" w:sz="0" w:space="0" w:color="auto"/>
        <w:left w:val="none" w:sz="0" w:space="0" w:color="auto"/>
        <w:bottom w:val="none" w:sz="0" w:space="0" w:color="auto"/>
        <w:right w:val="none" w:sz="0" w:space="0" w:color="auto"/>
      </w:divBdr>
    </w:div>
    <w:div w:id="1363942743">
      <w:bodyDiv w:val="1"/>
      <w:marLeft w:val="0"/>
      <w:marRight w:val="0"/>
      <w:marTop w:val="0"/>
      <w:marBottom w:val="0"/>
      <w:divBdr>
        <w:top w:val="none" w:sz="0" w:space="0" w:color="auto"/>
        <w:left w:val="none" w:sz="0" w:space="0" w:color="auto"/>
        <w:bottom w:val="none" w:sz="0" w:space="0" w:color="auto"/>
        <w:right w:val="none" w:sz="0" w:space="0" w:color="auto"/>
      </w:divBdr>
    </w:div>
    <w:div w:id="1372000939">
      <w:bodyDiv w:val="1"/>
      <w:marLeft w:val="0"/>
      <w:marRight w:val="0"/>
      <w:marTop w:val="0"/>
      <w:marBottom w:val="0"/>
      <w:divBdr>
        <w:top w:val="none" w:sz="0" w:space="0" w:color="auto"/>
        <w:left w:val="none" w:sz="0" w:space="0" w:color="auto"/>
        <w:bottom w:val="none" w:sz="0" w:space="0" w:color="auto"/>
        <w:right w:val="none" w:sz="0" w:space="0" w:color="auto"/>
      </w:divBdr>
    </w:div>
    <w:div w:id="1385982669">
      <w:bodyDiv w:val="1"/>
      <w:marLeft w:val="0"/>
      <w:marRight w:val="0"/>
      <w:marTop w:val="0"/>
      <w:marBottom w:val="0"/>
      <w:divBdr>
        <w:top w:val="none" w:sz="0" w:space="0" w:color="auto"/>
        <w:left w:val="none" w:sz="0" w:space="0" w:color="auto"/>
        <w:bottom w:val="none" w:sz="0" w:space="0" w:color="auto"/>
        <w:right w:val="none" w:sz="0" w:space="0" w:color="auto"/>
      </w:divBdr>
    </w:div>
    <w:div w:id="1386217625">
      <w:bodyDiv w:val="1"/>
      <w:marLeft w:val="0"/>
      <w:marRight w:val="0"/>
      <w:marTop w:val="0"/>
      <w:marBottom w:val="0"/>
      <w:divBdr>
        <w:top w:val="none" w:sz="0" w:space="0" w:color="auto"/>
        <w:left w:val="none" w:sz="0" w:space="0" w:color="auto"/>
        <w:bottom w:val="none" w:sz="0" w:space="0" w:color="auto"/>
        <w:right w:val="none" w:sz="0" w:space="0" w:color="auto"/>
      </w:divBdr>
    </w:div>
    <w:div w:id="1388527574">
      <w:bodyDiv w:val="1"/>
      <w:marLeft w:val="0"/>
      <w:marRight w:val="0"/>
      <w:marTop w:val="0"/>
      <w:marBottom w:val="0"/>
      <w:divBdr>
        <w:top w:val="none" w:sz="0" w:space="0" w:color="auto"/>
        <w:left w:val="none" w:sz="0" w:space="0" w:color="auto"/>
        <w:bottom w:val="none" w:sz="0" w:space="0" w:color="auto"/>
        <w:right w:val="none" w:sz="0" w:space="0" w:color="auto"/>
      </w:divBdr>
      <w:divsChild>
        <w:div w:id="1739328555">
          <w:marLeft w:val="0"/>
          <w:marRight w:val="0"/>
          <w:marTop w:val="0"/>
          <w:marBottom w:val="0"/>
          <w:divBdr>
            <w:top w:val="none" w:sz="0" w:space="0" w:color="auto"/>
            <w:left w:val="none" w:sz="0" w:space="0" w:color="auto"/>
            <w:bottom w:val="none" w:sz="0" w:space="0" w:color="auto"/>
            <w:right w:val="none" w:sz="0" w:space="0" w:color="auto"/>
          </w:divBdr>
          <w:divsChild>
            <w:div w:id="1190100206">
              <w:marLeft w:val="0"/>
              <w:marRight w:val="0"/>
              <w:marTop w:val="0"/>
              <w:marBottom w:val="0"/>
              <w:divBdr>
                <w:top w:val="none" w:sz="0" w:space="0" w:color="auto"/>
                <w:left w:val="none" w:sz="0" w:space="0" w:color="auto"/>
                <w:bottom w:val="none" w:sz="0" w:space="0" w:color="auto"/>
                <w:right w:val="none" w:sz="0" w:space="0" w:color="auto"/>
              </w:divBdr>
            </w:div>
            <w:div w:id="1523125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9063019">
      <w:bodyDiv w:val="1"/>
      <w:marLeft w:val="0"/>
      <w:marRight w:val="0"/>
      <w:marTop w:val="0"/>
      <w:marBottom w:val="0"/>
      <w:divBdr>
        <w:top w:val="none" w:sz="0" w:space="0" w:color="auto"/>
        <w:left w:val="none" w:sz="0" w:space="0" w:color="auto"/>
        <w:bottom w:val="none" w:sz="0" w:space="0" w:color="auto"/>
        <w:right w:val="none" w:sz="0" w:space="0" w:color="auto"/>
      </w:divBdr>
    </w:div>
    <w:div w:id="1389374768">
      <w:bodyDiv w:val="1"/>
      <w:marLeft w:val="0"/>
      <w:marRight w:val="0"/>
      <w:marTop w:val="0"/>
      <w:marBottom w:val="0"/>
      <w:divBdr>
        <w:top w:val="none" w:sz="0" w:space="0" w:color="auto"/>
        <w:left w:val="none" w:sz="0" w:space="0" w:color="auto"/>
        <w:bottom w:val="none" w:sz="0" w:space="0" w:color="auto"/>
        <w:right w:val="none" w:sz="0" w:space="0" w:color="auto"/>
      </w:divBdr>
    </w:div>
    <w:div w:id="1392119972">
      <w:bodyDiv w:val="1"/>
      <w:marLeft w:val="0"/>
      <w:marRight w:val="0"/>
      <w:marTop w:val="0"/>
      <w:marBottom w:val="0"/>
      <w:divBdr>
        <w:top w:val="none" w:sz="0" w:space="0" w:color="auto"/>
        <w:left w:val="none" w:sz="0" w:space="0" w:color="auto"/>
        <w:bottom w:val="none" w:sz="0" w:space="0" w:color="auto"/>
        <w:right w:val="none" w:sz="0" w:space="0" w:color="auto"/>
      </w:divBdr>
    </w:div>
    <w:div w:id="1405445479">
      <w:bodyDiv w:val="1"/>
      <w:marLeft w:val="0"/>
      <w:marRight w:val="0"/>
      <w:marTop w:val="0"/>
      <w:marBottom w:val="0"/>
      <w:divBdr>
        <w:top w:val="none" w:sz="0" w:space="0" w:color="auto"/>
        <w:left w:val="none" w:sz="0" w:space="0" w:color="auto"/>
        <w:bottom w:val="none" w:sz="0" w:space="0" w:color="auto"/>
        <w:right w:val="none" w:sz="0" w:space="0" w:color="auto"/>
      </w:divBdr>
    </w:div>
    <w:div w:id="1407221087">
      <w:bodyDiv w:val="1"/>
      <w:marLeft w:val="0"/>
      <w:marRight w:val="0"/>
      <w:marTop w:val="0"/>
      <w:marBottom w:val="0"/>
      <w:divBdr>
        <w:top w:val="none" w:sz="0" w:space="0" w:color="auto"/>
        <w:left w:val="none" w:sz="0" w:space="0" w:color="auto"/>
        <w:bottom w:val="none" w:sz="0" w:space="0" w:color="auto"/>
        <w:right w:val="none" w:sz="0" w:space="0" w:color="auto"/>
      </w:divBdr>
    </w:div>
    <w:div w:id="1410881391">
      <w:bodyDiv w:val="1"/>
      <w:marLeft w:val="0"/>
      <w:marRight w:val="0"/>
      <w:marTop w:val="0"/>
      <w:marBottom w:val="0"/>
      <w:divBdr>
        <w:top w:val="none" w:sz="0" w:space="0" w:color="auto"/>
        <w:left w:val="none" w:sz="0" w:space="0" w:color="auto"/>
        <w:bottom w:val="none" w:sz="0" w:space="0" w:color="auto"/>
        <w:right w:val="none" w:sz="0" w:space="0" w:color="auto"/>
      </w:divBdr>
    </w:div>
    <w:div w:id="1413047800">
      <w:bodyDiv w:val="1"/>
      <w:marLeft w:val="0"/>
      <w:marRight w:val="0"/>
      <w:marTop w:val="0"/>
      <w:marBottom w:val="0"/>
      <w:divBdr>
        <w:top w:val="none" w:sz="0" w:space="0" w:color="auto"/>
        <w:left w:val="none" w:sz="0" w:space="0" w:color="auto"/>
        <w:bottom w:val="none" w:sz="0" w:space="0" w:color="auto"/>
        <w:right w:val="none" w:sz="0" w:space="0" w:color="auto"/>
      </w:divBdr>
    </w:div>
    <w:div w:id="1413703234">
      <w:bodyDiv w:val="1"/>
      <w:marLeft w:val="0"/>
      <w:marRight w:val="0"/>
      <w:marTop w:val="0"/>
      <w:marBottom w:val="0"/>
      <w:divBdr>
        <w:top w:val="none" w:sz="0" w:space="0" w:color="auto"/>
        <w:left w:val="none" w:sz="0" w:space="0" w:color="auto"/>
        <w:bottom w:val="none" w:sz="0" w:space="0" w:color="auto"/>
        <w:right w:val="none" w:sz="0" w:space="0" w:color="auto"/>
      </w:divBdr>
    </w:div>
    <w:div w:id="1418818717">
      <w:bodyDiv w:val="1"/>
      <w:marLeft w:val="0"/>
      <w:marRight w:val="0"/>
      <w:marTop w:val="0"/>
      <w:marBottom w:val="0"/>
      <w:divBdr>
        <w:top w:val="none" w:sz="0" w:space="0" w:color="auto"/>
        <w:left w:val="none" w:sz="0" w:space="0" w:color="auto"/>
        <w:bottom w:val="none" w:sz="0" w:space="0" w:color="auto"/>
        <w:right w:val="none" w:sz="0" w:space="0" w:color="auto"/>
      </w:divBdr>
    </w:div>
    <w:div w:id="1433280967">
      <w:bodyDiv w:val="1"/>
      <w:marLeft w:val="0"/>
      <w:marRight w:val="0"/>
      <w:marTop w:val="0"/>
      <w:marBottom w:val="0"/>
      <w:divBdr>
        <w:top w:val="none" w:sz="0" w:space="0" w:color="auto"/>
        <w:left w:val="none" w:sz="0" w:space="0" w:color="auto"/>
        <w:bottom w:val="none" w:sz="0" w:space="0" w:color="auto"/>
        <w:right w:val="none" w:sz="0" w:space="0" w:color="auto"/>
      </w:divBdr>
    </w:div>
    <w:div w:id="1437099660">
      <w:bodyDiv w:val="1"/>
      <w:marLeft w:val="0"/>
      <w:marRight w:val="0"/>
      <w:marTop w:val="0"/>
      <w:marBottom w:val="0"/>
      <w:divBdr>
        <w:top w:val="none" w:sz="0" w:space="0" w:color="auto"/>
        <w:left w:val="none" w:sz="0" w:space="0" w:color="auto"/>
        <w:bottom w:val="none" w:sz="0" w:space="0" w:color="auto"/>
        <w:right w:val="none" w:sz="0" w:space="0" w:color="auto"/>
      </w:divBdr>
    </w:div>
    <w:div w:id="1445230350">
      <w:bodyDiv w:val="1"/>
      <w:marLeft w:val="0"/>
      <w:marRight w:val="0"/>
      <w:marTop w:val="0"/>
      <w:marBottom w:val="0"/>
      <w:divBdr>
        <w:top w:val="none" w:sz="0" w:space="0" w:color="auto"/>
        <w:left w:val="none" w:sz="0" w:space="0" w:color="auto"/>
        <w:bottom w:val="none" w:sz="0" w:space="0" w:color="auto"/>
        <w:right w:val="none" w:sz="0" w:space="0" w:color="auto"/>
      </w:divBdr>
    </w:div>
    <w:div w:id="1476411963">
      <w:bodyDiv w:val="1"/>
      <w:marLeft w:val="0"/>
      <w:marRight w:val="0"/>
      <w:marTop w:val="0"/>
      <w:marBottom w:val="0"/>
      <w:divBdr>
        <w:top w:val="none" w:sz="0" w:space="0" w:color="auto"/>
        <w:left w:val="none" w:sz="0" w:space="0" w:color="auto"/>
        <w:bottom w:val="none" w:sz="0" w:space="0" w:color="auto"/>
        <w:right w:val="none" w:sz="0" w:space="0" w:color="auto"/>
      </w:divBdr>
    </w:div>
    <w:div w:id="1484005848">
      <w:bodyDiv w:val="1"/>
      <w:marLeft w:val="0"/>
      <w:marRight w:val="0"/>
      <w:marTop w:val="0"/>
      <w:marBottom w:val="0"/>
      <w:divBdr>
        <w:top w:val="none" w:sz="0" w:space="0" w:color="auto"/>
        <w:left w:val="none" w:sz="0" w:space="0" w:color="auto"/>
        <w:bottom w:val="none" w:sz="0" w:space="0" w:color="auto"/>
        <w:right w:val="none" w:sz="0" w:space="0" w:color="auto"/>
      </w:divBdr>
      <w:divsChild>
        <w:div w:id="1910844011">
          <w:marLeft w:val="0"/>
          <w:marRight w:val="0"/>
          <w:marTop w:val="0"/>
          <w:marBottom w:val="0"/>
          <w:divBdr>
            <w:top w:val="none" w:sz="0" w:space="0" w:color="auto"/>
            <w:left w:val="none" w:sz="0" w:space="0" w:color="auto"/>
            <w:bottom w:val="none" w:sz="0" w:space="0" w:color="auto"/>
            <w:right w:val="none" w:sz="0" w:space="0" w:color="auto"/>
          </w:divBdr>
          <w:divsChild>
            <w:div w:id="1859813108">
              <w:marLeft w:val="0"/>
              <w:marRight w:val="0"/>
              <w:marTop w:val="0"/>
              <w:marBottom w:val="0"/>
              <w:divBdr>
                <w:top w:val="none" w:sz="0" w:space="0" w:color="auto"/>
                <w:left w:val="none" w:sz="0" w:space="0" w:color="auto"/>
                <w:bottom w:val="none" w:sz="0" w:space="0" w:color="auto"/>
                <w:right w:val="none" w:sz="0" w:space="0" w:color="auto"/>
              </w:divBdr>
              <w:divsChild>
                <w:div w:id="797143841">
                  <w:marLeft w:val="4000"/>
                  <w:marRight w:val="0"/>
                  <w:marTop w:val="0"/>
                  <w:marBottom w:val="0"/>
                  <w:divBdr>
                    <w:top w:val="none" w:sz="0" w:space="0" w:color="auto"/>
                    <w:left w:val="none" w:sz="0" w:space="0" w:color="auto"/>
                    <w:bottom w:val="none" w:sz="0" w:space="0" w:color="auto"/>
                    <w:right w:val="none" w:sz="0" w:space="0" w:color="auto"/>
                  </w:divBdr>
                  <w:divsChild>
                    <w:div w:id="810907411">
                      <w:marLeft w:val="0"/>
                      <w:marRight w:val="0"/>
                      <w:marTop w:val="0"/>
                      <w:marBottom w:val="0"/>
                      <w:divBdr>
                        <w:top w:val="none" w:sz="0" w:space="0" w:color="auto"/>
                        <w:left w:val="single" w:sz="8" w:space="20" w:color="D7D7D2"/>
                        <w:bottom w:val="none" w:sz="0" w:space="0" w:color="auto"/>
                        <w:right w:val="none" w:sz="0" w:space="0" w:color="auto"/>
                      </w:divBdr>
                      <w:divsChild>
                        <w:div w:id="1597521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2986054">
      <w:bodyDiv w:val="1"/>
      <w:marLeft w:val="0"/>
      <w:marRight w:val="0"/>
      <w:marTop w:val="0"/>
      <w:marBottom w:val="0"/>
      <w:divBdr>
        <w:top w:val="none" w:sz="0" w:space="0" w:color="auto"/>
        <w:left w:val="none" w:sz="0" w:space="0" w:color="auto"/>
        <w:bottom w:val="none" w:sz="0" w:space="0" w:color="auto"/>
        <w:right w:val="none" w:sz="0" w:space="0" w:color="auto"/>
      </w:divBdr>
    </w:div>
    <w:div w:id="1519469805">
      <w:bodyDiv w:val="1"/>
      <w:marLeft w:val="0"/>
      <w:marRight w:val="0"/>
      <w:marTop w:val="0"/>
      <w:marBottom w:val="0"/>
      <w:divBdr>
        <w:top w:val="none" w:sz="0" w:space="0" w:color="auto"/>
        <w:left w:val="none" w:sz="0" w:space="0" w:color="auto"/>
        <w:bottom w:val="none" w:sz="0" w:space="0" w:color="auto"/>
        <w:right w:val="none" w:sz="0" w:space="0" w:color="auto"/>
      </w:divBdr>
    </w:div>
    <w:div w:id="1536649959">
      <w:bodyDiv w:val="1"/>
      <w:marLeft w:val="0"/>
      <w:marRight w:val="0"/>
      <w:marTop w:val="0"/>
      <w:marBottom w:val="0"/>
      <w:divBdr>
        <w:top w:val="none" w:sz="0" w:space="0" w:color="auto"/>
        <w:left w:val="none" w:sz="0" w:space="0" w:color="auto"/>
        <w:bottom w:val="none" w:sz="0" w:space="0" w:color="auto"/>
        <w:right w:val="none" w:sz="0" w:space="0" w:color="auto"/>
      </w:divBdr>
    </w:div>
    <w:div w:id="1562251039">
      <w:bodyDiv w:val="1"/>
      <w:marLeft w:val="0"/>
      <w:marRight w:val="0"/>
      <w:marTop w:val="0"/>
      <w:marBottom w:val="0"/>
      <w:divBdr>
        <w:top w:val="none" w:sz="0" w:space="0" w:color="auto"/>
        <w:left w:val="none" w:sz="0" w:space="0" w:color="auto"/>
        <w:bottom w:val="none" w:sz="0" w:space="0" w:color="auto"/>
        <w:right w:val="none" w:sz="0" w:space="0" w:color="auto"/>
      </w:divBdr>
    </w:div>
    <w:div w:id="1577396980">
      <w:bodyDiv w:val="1"/>
      <w:marLeft w:val="0"/>
      <w:marRight w:val="0"/>
      <w:marTop w:val="0"/>
      <w:marBottom w:val="0"/>
      <w:divBdr>
        <w:top w:val="none" w:sz="0" w:space="0" w:color="auto"/>
        <w:left w:val="none" w:sz="0" w:space="0" w:color="auto"/>
        <w:bottom w:val="none" w:sz="0" w:space="0" w:color="auto"/>
        <w:right w:val="none" w:sz="0" w:space="0" w:color="auto"/>
      </w:divBdr>
    </w:div>
    <w:div w:id="1580603489">
      <w:bodyDiv w:val="1"/>
      <w:marLeft w:val="0"/>
      <w:marRight w:val="0"/>
      <w:marTop w:val="0"/>
      <w:marBottom w:val="0"/>
      <w:divBdr>
        <w:top w:val="none" w:sz="0" w:space="0" w:color="auto"/>
        <w:left w:val="none" w:sz="0" w:space="0" w:color="auto"/>
        <w:bottom w:val="none" w:sz="0" w:space="0" w:color="auto"/>
        <w:right w:val="none" w:sz="0" w:space="0" w:color="auto"/>
      </w:divBdr>
    </w:div>
    <w:div w:id="1583636599">
      <w:bodyDiv w:val="1"/>
      <w:marLeft w:val="0"/>
      <w:marRight w:val="0"/>
      <w:marTop w:val="0"/>
      <w:marBottom w:val="0"/>
      <w:divBdr>
        <w:top w:val="none" w:sz="0" w:space="0" w:color="auto"/>
        <w:left w:val="none" w:sz="0" w:space="0" w:color="auto"/>
        <w:bottom w:val="none" w:sz="0" w:space="0" w:color="auto"/>
        <w:right w:val="none" w:sz="0" w:space="0" w:color="auto"/>
      </w:divBdr>
    </w:div>
    <w:div w:id="1589729397">
      <w:bodyDiv w:val="1"/>
      <w:marLeft w:val="0"/>
      <w:marRight w:val="0"/>
      <w:marTop w:val="0"/>
      <w:marBottom w:val="0"/>
      <w:divBdr>
        <w:top w:val="none" w:sz="0" w:space="0" w:color="auto"/>
        <w:left w:val="none" w:sz="0" w:space="0" w:color="auto"/>
        <w:bottom w:val="none" w:sz="0" w:space="0" w:color="auto"/>
        <w:right w:val="none" w:sz="0" w:space="0" w:color="auto"/>
      </w:divBdr>
    </w:div>
    <w:div w:id="1590041947">
      <w:bodyDiv w:val="1"/>
      <w:marLeft w:val="0"/>
      <w:marRight w:val="0"/>
      <w:marTop w:val="0"/>
      <w:marBottom w:val="0"/>
      <w:divBdr>
        <w:top w:val="none" w:sz="0" w:space="0" w:color="auto"/>
        <w:left w:val="none" w:sz="0" w:space="0" w:color="auto"/>
        <w:bottom w:val="none" w:sz="0" w:space="0" w:color="auto"/>
        <w:right w:val="none" w:sz="0" w:space="0" w:color="auto"/>
      </w:divBdr>
    </w:div>
    <w:div w:id="1594774798">
      <w:bodyDiv w:val="1"/>
      <w:marLeft w:val="0"/>
      <w:marRight w:val="0"/>
      <w:marTop w:val="0"/>
      <w:marBottom w:val="0"/>
      <w:divBdr>
        <w:top w:val="none" w:sz="0" w:space="0" w:color="auto"/>
        <w:left w:val="none" w:sz="0" w:space="0" w:color="auto"/>
        <w:bottom w:val="none" w:sz="0" w:space="0" w:color="auto"/>
        <w:right w:val="none" w:sz="0" w:space="0" w:color="auto"/>
      </w:divBdr>
    </w:div>
    <w:div w:id="1600718043">
      <w:bodyDiv w:val="1"/>
      <w:marLeft w:val="0"/>
      <w:marRight w:val="0"/>
      <w:marTop w:val="0"/>
      <w:marBottom w:val="0"/>
      <w:divBdr>
        <w:top w:val="none" w:sz="0" w:space="0" w:color="auto"/>
        <w:left w:val="none" w:sz="0" w:space="0" w:color="auto"/>
        <w:bottom w:val="none" w:sz="0" w:space="0" w:color="auto"/>
        <w:right w:val="none" w:sz="0" w:space="0" w:color="auto"/>
      </w:divBdr>
    </w:div>
    <w:div w:id="1602644855">
      <w:bodyDiv w:val="1"/>
      <w:marLeft w:val="0"/>
      <w:marRight w:val="0"/>
      <w:marTop w:val="0"/>
      <w:marBottom w:val="0"/>
      <w:divBdr>
        <w:top w:val="none" w:sz="0" w:space="0" w:color="auto"/>
        <w:left w:val="none" w:sz="0" w:space="0" w:color="auto"/>
        <w:bottom w:val="none" w:sz="0" w:space="0" w:color="auto"/>
        <w:right w:val="none" w:sz="0" w:space="0" w:color="auto"/>
      </w:divBdr>
    </w:div>
    <w:div w:id="1606230074">
      <w:bodyDiv w:val="1"/>
      <w:marLeft w:val="0"/>
      <w:marRight w:val="0"/>
      <w:marTop w:val="0"/>
      <w:marBottom w:val="0"/>
      <w:divBdr>
        <w:top w:val="none" w:sz="0" w:space="0" w:color="auto"/>
        <w:left w:val="none" w:sz="0" w:space="0" w:color="auto"/>
        <w:bottom w:val="none" w:sz="0" w:space="0" w:color="auto"/>
        <w:right w:val="none" w:sz="0" w:space="0" w:color="auto"/>
      </w:divBdr>
    </w:div>
    <w:div w:id="1617785855">
      <w:bodyDiv w:val="1"/>
      <w:marLeft w:val="0"/>
      <w:marRight w:val="0"/>
      <w:marTop w:val="0"/>
      <w:marBottom w:val="0"/>
      <w:divBdr>
        <w:top w:val="none" w:sz="0" w:space="0" w:color="auto"/>
        <w:left w:val="none" w:sz="0" w:space="0" w:color="auto"/>
        <w:bottom w:val="none" w:sz="0" w:space="0" w:color="auto"/>
        <w:right w:val="none" w:sz="0" w:space="0" w:color="auto"/>
      </w:divBdr>
    </w:div>
    <w:div w:id="1619527813">
      <w:bodyDiv w:val="1"/>
      <w:marLeft w:val="0"/>
      <w:marRight w:val="0"/>
      <w:marTop w:val="0"/>
      <w:marBottom w:val="0"/>
      <w:divBdr>
        <w:top w:val="none" w:sz="0" w:space="0" w:color="auto"/>
        <w:left w:val="none" w:sz="0" w:space="0" w:color="auto"/>
        <w:bottom w:val="none" w:sz="0" w:space="0" w:color="auto"/>
        <w:right w:val="none" w:sz="0" w:space="0" w:color="auto"/>
      </w:divBdr>
    </w:div>
    <w:div w:id="1620451369">
      <w:bodyDiv w:val="1"/>
      <w:marLeft w:val="0"/>
      <w:marRight w:val="0"/>
      <w:marTop w:val="0"/>
      <w:marBottom w:val="0"/>
      <w:divBdr>
        <w:top w:val="none" w:sz="0" w:space="0" w:color="auto"/>
        <w:left w:val="none" w:sz="0" w:space="0" w:color="auto"/>
        <w:bottom w:val="none" w:sz="0" w:space="0" w:color="auto"/>
        <w:right w:val="none" w:sz="0" w:space="0" w:color="auto"/>
      </w:divBdr>
    </w:div>
    <w:div w:id="1625960073">
      <w:bodyDiv w:val="1"/>
      <w:marLeft w:val="0"/>
      <w:marRight w:val="0"/>
      <w:marTop w:val="0"/>
      <w:marBottom w:val="0"/>
      <w:divBdr>
        <w:top w:val="none" w:sz="0" w:space="0" w:color="auto"/>
        <w:left w:val="none" w:sz="0" w:space="0" w:color="auto"/>
        <w:bottom w:val="none" w:sz="0" w:space="0" w:color="auto"/>
        <w:right w:val="none" w:sz="0" w:space="0" w:color="auto"/>
      </w:divBdr>
    </w:div>
    <w:div w:id="1632129622">
      <w:bodyDiv w:val="1"/>
      <w:marLeft w:val="0"/>
      <w:marRight w:val="0"/>
      <w:marTop w:val="0"/>
      <w:marBottom w:val="0"/>
      <w:divBdr>
        <w:top w:val="none" w:sz="0" w:space="0" w:color="auto"/>
        <w:left w:val="none" w:sz="0" w:space="0" w:color="auto"/>
        <w:bottom w:val="none" w:sz="0" w:space="0" w:color="auto"/>
        <w:right w:val="none" w:sz="0" w:space="0" w:color="auto"/>
      </w:divBdr>
    </w:div>
    <w:div w:id="1632322603">
      <w:bodyDiv w:val="1"/>
      <w:marLeft w:val="0"/>
      <w:marRight w:val="0"/>
      <w:marTop w:val="0"/>
      <w:marBottom w:val="0"/>
      <w:divBdr>
        <w:top w:val="none" w:sz="0" w:space="0" w:color="auto"/>
        <w:left w:val="none" w:sz="0" w:space="0" w:color="auto"/>
        <w:bottom w:val="none" w:sz="0" w:space="0" w:color="auto"/>
        <w:right w:val="none" w:sz="0" w:space="0" w:color="auto"/>
      </w:divBdr>
    </w:div>
    <w:div w:id="1637029840">
      <w:bodyDiv w:val="1"/>
      <w:marLeft w:val="0"/>
      <w:marRight w:val="0"/>
      <w:marTop w:val="0"/>
      <w:marBottom w:val="0"/>
      <w:divBdr>
        <w:top w:val="none" w:sz="0" w:space="0" w:color="auto"/>
        <w:left w:val="none" w:sz="0" w:space="0" w:color="auto"/>
        <w:bottom w:val="none" w:sz="0" w:space="0" w:color="auto"/>
        <w:right w:val="none" w:sz="0" w:space="0" w:color="auto"/>
      </w:divBdr>
    </w:div>
    <w:div w:id="1649824321">
      <w:bodyDiv w:val="1"/>
      <w:marLeft w:val="0"/>
      <w:marRight w:val="0"/>
      <w:marTop w:val="0"/>
      <w:marBottom w:val="0"/>
      <w:divBdr>
        <w:top w:val="none" w:sz="0" w:space="0" w:color="auto"/>
        <w:left w:val="none" w:sz="0" w:space="0" w:color="auto"/>
        <w:bottom w:val="none" w:sz="0" w:space="0" w:color="auto"/>
        <w:right w:val="none" w:sz="0" w:space="0" w:color="auto"/>
      </w:divBdr>
    </w:div>
    <w:div w:id="1651712117">
      <w:bodyDiv w:val="1"/>
      <w:marLeft w:val="0"/>
      <w:marRight w:val="0"/>
      <w:marTop w:val="0"/>
      <w:marBottom w:val="0"/>
      <w:divBdr>
        <w:top w:val="none" w:sz="0" w:space="0" w:color="auto"/>
        <w:left w:val="none" w:sz="0" w:space="0" w:color="auto"/>
        <w:bottom w:val="none" w:sz="0" w:space="0" w:color="auto"/>
        <w:right w:val="none" w:sz="0" w:space="0" w:color="auto"/>
      </w:divBdr>
    </w:div>
    <w:div w:id="1651981387">
      <w:bodyDiv w:val="1"/>
      <w:marLeft w:val="0"/>
      <w:marRight w:val="0"/>
      <w:marTop w:val="0"/>
      <w:marBottom w:val="0"/>
      <w:divBdr>
        <w:top w:val="none" w:sz="0" w:space="0" w:color="auto"/>
        <w:left w:val="none" w:sz="0" w:space="0" w:color="auto"/>
        <w:bottom w:val="none" w:sz="0" w:space="0" w:color="auto"/>
        <w:right w:val="none" w:sz="0" w:space="0" w:color="auto"/>
      </w:divBdr>
    </w:div>
    <w:div w:id="1665280222">
      <w:bodyDiv w:val="1"/>
      <w:marLeft w:val="0"/>
      <w:marRight w:val="0"/>
      <w:marTop w:val="0"/>
      <w:marBottom w:val="0"/>
      <w:divBdr>
        <w:top w:val="none" w:sz="0" w:space="0" w:color="auto"/>
        <w:left w:val="none" w:sz="0" w:space="0" w:color="auto"/>
        <w:bottom w:val="none" w:sz="0" w:space="0" w:color="auto"/>
        <w:right w:val="none" w:sz="0" w:space="0" w:color="auto"/>
      </w:divBdr>
    </w:div>
    <w:div w:id="1670597833">
      <w:bodyDiv w:val="1"/>
      <w:marLeft w:val="0"/>
      <w:marRight w:val="0"/>
      <w:marTop w:val="0"/>
      <w:marBottom w:val="0"/>
      <w:divBdr>
        <w:top w:val="none" w:sz="0" w:space="0" w:color="auto"/>
        <w:left w:val="none" w:sz="0" w:space="0" w:color="auto"/>
        <w:bottom w:val="none" w:sz="0" w:space="0" w:color="auto"/>
        <w:right w:val="none" w:sz="0" w:space="0" w:color="auto"/>
      </w:divBdr>
    </w:div>
    <w:div w:id="1674071020">
      <w:bodyDiv w:val="1"/>
      <w:marLeft w:val="0"/>
      <w:marRight w:val="0"/>
      <w:marTop w:val="0"/>
      <w:marBottom w:val="0"/>
      <w:divBdr>
        <w:top w:val="none" w:sz="0" w:space="0" w:color="auto"/>
        <w:left w:val="none" w:sz="0" w:space="0" w:color="auto"/>
        <w:bottom w:val="none" w:sz="0" w:space="0" w:color="auto"/>
        <w:right w:val="none" w:sz="0" w:space="0" w:color="auto"/>
      </w:divBdr>
      <w:divsChild>
        <w:div w:id="880282787">
          <w:marLeft w:val="0"/>
          <w:marRight w:val="0"/>
          <w:marTop w:val="0"/>
          <w:marBottom w:val="0"/>
          <w:divBdr>
            <w:top w:val="none" w:sz="0" w:space="0" w:color="auto"/>
            <w:left w:val="none" w:sz="0" w:space="0" w:color="auto"/>
            <w:bottom w:val="none" w:sz="0" w:space="0" w:color="auto"/>
            <w:right w:val="none" w:sz="0" w:space="0" w:color="auto"/>
          </w:divBdr>
          <w:divsChild>
            <w:div w:id="273899725">
              <w:marLeft w:val="0"/>
              <w:marRight w:val="0"/>
              <w:marTop w:val="0"/>
              <w:marBottom w:val="0"/>
              <w:divBdr>
                <w:top w:val="none" w:sz="0" w:space="0" w:color="auto"/>
                <w:left w:val="none" w:sz="0" w:space="0" w:color="auto"/>
                <w:bottom w:val="none" w:sz="0" w:space="0" w:color="auto"/>
                <w:right w:val="none" w:sz="0" w:space="0" w:color="auto"/>
              </w:divBdr>
              <w:divsChild>
                <w:div w:id="1190221503">
                  <w:marLeft w:val="0"/>
                  <w:marRight w:val="0"/>
                  <w:marTop w:val="0"/>
                  <w:marBottom w:val="0"/>
                  <w:divBdr>
                    <w:top w:val="none" w:sz="0" w:space="0" w:color="auto"/>
                    <w:left w:val="none" w:sz="0" w:space="0" w:color="auto"/>
                    <w:bottom w:val="none" w:sz="0" w:space="0" w:color="auto"/>
                    <w:right w:val="none" w:sz="0" w:space="0" w:color="auto"/>
                  </w:divBdr>
                  <w:divsChild>
                    <w:div w:id="137862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1354444">
      <w:bodyDiv w:val="1"/>
      <w:marLeft w:val="0"/>
      <w:marRight w:val="0"/>
      <w:marTop w:val="0"/>
      <w:marBottom w:val="0"/>
      <w:divBdr>
        <w:top w:val="none" w:sz="0" w:space="0" w:color="auto"/>
        <w:left w:val="none" w:sz="0" w:space="0" w:color="auto"/>
        <w:bottom w:val="none" w:sz="0" w:space="0" w:color="auto"/>
        <w:right w:val="none" w:sz="0" w:space="0" w:color="auto"/>
      </w:divBdr>
    </w:div>
    <w:div w:id="1685282523">
      <w:bodyDiv w:val="1"/>
      <w:marLeft w:val="0"/>
      <w:marRight w:val="0"/>
      <w:marTop w:val="0"/>
      <w:marBottom w:val="0"/>
      <w:divBdr>
        <w:top w:val="none" w:sz="0" w:space="0" w:color="auto"/>
        <w:left w:val="none" w:sz="0" w:space="0" w:color="auto"/>
        <w:bottom w:val="none" w:sz="0" w:space="0" w:color="auto"/>
        <w:right w:val="none" w:sz="0" w:space="0" w:color="auto"/>
      </w:divBdr>
    </w:div>
    <w:div w:id="1692147564">
      <w:bodyDiv w:val="1"/>
      <w:marLeft w:val="0"/>
      <w:marRight w:val="0"/>
      <w:marTop w:val="0"/>
      <w:marBottom w:val="0"/>
      <w:divBdr>
        <w:top w:val="none" w:sz="0" w:space="0" w:color="auto"/>
        <w:left w:val="none" w:sz="0" w:space="0" w:color="auto"/>
        <w:bottom w:val="none" w:sz="0" w:space="0" w:color="auto"/>
        <w:right w:val="none" w:sz="0" w:space="0" w:color="auto"/>
      </w:divBdr>
    </w:div>
    <w:div w:id="1697610989">
      <w:bodyDiv w:val="1"/>
      <w:marLeft w:val="0"/>
      <w:marRight w:val="0"/>
      <w:marTop w:val="0"/>
      <w:marBottom w:val="0"/>
      <w:divBdr>
        <w:top w:val="none" w:sz="0" w:space="0" w:color="auto"/>
        <w:left w:val="none" w:sz="0" w:space="0" w:color="auto"/>
        <w:bottom w:val="none" w:sz="0" w:space="0" w:color="auto"/>
        <w:right w:val="none" w:sz="0" w:space="0" w:color="auto"/>
      </w:divBdr>
    </w:div>
    <w:div w:id="1700812100">
      <w:bodyDiv w:val="1"/>
      <w:marLeft w:val="0"/>
      <w:marRight w:val="0"/>
      <w:marTop w:val="0"/>
      <w:marBottom w:val="0"/>
      <w:divBdr>
        <w:top w:val="none" w:sz="0" w:space="0" w:color="auto"/>
        <w:left w:val="none" w:sz="0" w:space="0" w:color="auto"/>
        <w:bottom w:val="none" w:sz="0" w:space="0" w:color="auto"/>
        <w:right w:val="none" w:sz="0" w:space="0" w:color="auto"/>
      </w:divBdr>
    </w:div>
    <w:div w:id="1705401264">
      <w:bodyDiv w:val="1"/>
      <w:marLeft w:val="0"/>
      <w:marRight w:val="0"/>
      <w:marTop w:val="0"/>
      <w:marBottom w:val="0"/>
      <w:divBdr>
        <w:top w:val="none" w:sz="0" w:space="0" w:color="auto"/>
        <w:left w:val="none" w:sz="0" w:space="0" w:color="auto"/>
        <w:bottom w:val="none" w:sz="0" w:space="0" w:color="auto"/>
        <w:right w:val="none" w:sz="0" w:space="0" w:color="auto"/>
      </w:divBdr>
    </w:div>
    <w:div w:id="1707948532">
      <w:bodyDiv w:val="1"/>
      <w:marLeft w:val="0"/>
      <w:marRight w:val="0"/>
      <w:marTop w:val="0"/>
      <w:marBottom w:val="0"/>
      <w:divBdr>
        <w:top w:val="none" w:sz="0" w:space="0" w:color="auto"/>
        <w:left w:val="none" w:sz="0" w:space="0" w:color="auto"/>
        <w:bottom w:val="none" w:sz="0" w:space="0" w:color="auto"/>
        <w:right w:val="none" w:sz="0" w:space="0" w:color="auto"/>
      </w:divBdr>
    </w:div>
    <w:div w:id="1708024532">
      <w:bodyDiv w:val="1"/>
      <w:marLeft w:val="0"/>
      <w:marRight w:val="0"/>
      <w:marTop w:val="0"/>
      <w:marBottom w:val="0"/>
      <w:divBdr>
        <w:top w:val="none" w:sz="0" w:space="0" w:color="auto"/>
        <w:left w:val="none" w:sz="0" w:space="0" w:color="auto"/>
        <w:bottom w:val="none" w:sz="0" w:space="0" w:color="auto"/>
        <w:right w:val="none" w:sz="0" w:space="0" w:color="auto"/>
      </w:divBdr>
    </w:div>
    <w:div w:id="1709404213">
      <w:bodyDiv w:val="1"/>
      <w:marLeft w:val="0"/>
      <w:marRight w:val="0"/>
      <w:marTop w:val="0"/>
      <w:marBottom w:val="0"/>
      <w:divBdr>
        <w:top w:val="none" w:sz="0" w:space="0" w:color="auto"/>
        <w:left w:val="none" w:sz="0" w:space="0" w:color="auto"/>
        <w:bottom w:val="none" w:sz="0" w:space="0" w:color="auto"/>
        <w:right w:val="none" w:sz="0" w:space="0" w:color="auto"/>
      </w:divBdr>
    </w:div>
    <w:div w:id="1721782287">
      <w:bodyDiv w:val="1"/>
      <w:marLeft w:val="0"/>
      <w:marRight w:val="0"/>
      <w:marTop w:val="0"/>
      <w:marBottom w:val="0"/>
      <w:divBdr>
        <w:top w:val="none" w:sz="0" w:space="0" w:color="auto"/>
        <w:left w:val="none" w:sz="0" w:space="0" w:color="auto"/>
        <w:bottom w:val="none" w:sz="0" w:space="0" w:color="auto"/>
        <w:right w:val="none" w:sz="0" w:space="0" w:color="auto"/>
      </w:divBdr>
    </w:div>
    <w:div w:id="1722360576">
      <w:bodyDiv w:val="1"/>
      <w:marLeft w:val="0"/>
      <w:marRight w:val="0"/>
      <w:marTop w:val="0"/>
      <w:marBottom w:val="0"/>
      <w:divBdr>
        <w:top w:val="none" w:sz="0" w:space="0" w:color="auto"/>
        <w:left w:val="none" w:sz="0" w:space="0" w:color="auto"/>
        <w:bottom w:val="none" w:sz="0" w:space="0" w:color="auto"/>
        <w:right w:val="none" w:sz="0" w:space="0" w:color="auto"/>
      </w:divBdr>
    </w:div>
    <w:div w:id="1736472088">
      <w:bodyDiv w:val="1"/>
      <w:marLeft w:val="0"/>
      <w:marRight w:val="0"/>
      <w:marTop w:val="0"/>
      <w:marBottom w:val="0"/>
      <w:divBdr>
        <w:top w:val="none" w:sz="0" w:space="0" w:color="auto"/>
        <w:left w:val="none" w:sz="0" w:space="0" w:color="auto"/>
        <w:bottom w:val="none" w:sz="0" w:space="0" w:color="auto"/>
        <w:right w:val="none" w:sz="0" w:space="0" w:color="auto"/>
      </w:divBdr>
    </w:div>
    <w:div w:id="1738819531">
      <w:bodyDiv w:val="1"/>
      <w:marLeft w:val="0"/>
      <w:marRight w:val="0"/>
      <w:marTop w:val="0"/>
      <w:marBottom w:val="0"/>
      <w:divBdr>
        <w:top w:val="none" w:sz="0" w:space="0" w:color="auto"/>
        <w:left w:val="none" w:sz="0" w:space="0" w:color="auto"/>
        <w:bottom w:val="none" w:sz="0" w:space="0" w:color="auto"/>
        <w:right w:val="none" w:sz="0" w:space="0" w:color="auto"/>
      </w:divBdr>
    </w:div>
    <w:div w:id="1755975112">
      <w:bodyDiv w:val="1"/>
      <w:marLeft w:val="0"/>
      <w:marRight w:val="0"/>
      <w:marTop w:val="0"/>
      <w:marBottom w:val="0"/>
      <w:divBdr>
        <w:top w:val="none" w:sz="0" w:space="0" w:color="auto"/>
        <w:left w:val="none" w:sz="0" w:space="0" w:color="auto"/>
        <w:bottom w:val="none" w:sz="0" w:space="0" w:color="auto"/>
        <w:right w:val="none" w:sz="0" w:space="0" w:color="auto"/>
      </w:divBdr>
    </w:div>
    <w:div w:id="1759904164">
      <w:bodyDiv w:val="1"/>
      <w:marLeft w:val="0"/>
      <w:marRight w:val="0"/>
      <w:marTop w:val="0"/>
      <w:marBottom w:val="0"/>
      <w:divBdr>
        <w:top w:val="none" w:sz="0" w:space="0" w:color="auto"/>
        <w:left w:val="none" w:sz="0" w:space="0" w:color="auto"/>
        <w:bottom w:val="none" w:sz="0" w:space="0" w:color="auto"/>
        <w:right w:val="none" w:sz="0" w:space="0" w:color="auto"/>
      </w:divBdr>
    </w:div>
    <w:div w:id="1763720386">
      <w:bodyDiv w:val="1"/>
      <w:marLeft w:val="0"/>
      <w:marRight w:val="0"/>
      <w:marTop w:val="0"/>
      <w:marBottom w:val="0"/>
      <w:divBdr>
        <w:top w:val="none" w:sz="0" w:space="0" w:color="auto"/>
        <w:left w:val="none" w:sz="0" w:space="0" w:color="auto"/>
        <w:bottom w:val="none" w:sz="0" w:space="0" w:color="auto"/>
        <w:right w:val="none" w:sz="0" w:space="0" w:color="auto"/>
      </w:divBdr>
    </w:div>
    <w:div w:id="1766419442">
      <w:bodyDiv w:val="1"/>
      <w:marLeft w:val="0"/>
      <w:marRight w:val="0"/>
      <w:marTop w:val="0"/>
      <w:marBottom w:val="0"/>
      <w:divBdr>
        <w:top w:val="none" w:sz="0" w:space="0" w:color="auto"/>
        <w:left w:val="none" w:sz="0" w:space="0" w:color="auto"/>
        <w:bottom w:val="none" w:sz="0" w:space="0" w:color="auto"/>
        <w:right w:val="none" w:sz="0" w:space="0" w:color="auto"/>
      </w:divBdr>
    </w:div>
    <w:div w:id="1768842081">
      <w:bodyDiv w:val="1"/>
      <w:marLeft w:val="0"/>
      <w:marRight w:val="0"/>
      <w:marTop w:val="0"/>
      <w:marBottom w:val="0"/>
      <w:divBdr>
        <w:top w:val="none" w:sz="0" w:space="0" w:color="auto"/>
        <w:left w:val="none" w:sz="0" w:space="0" w:color="auto"/>
        <w:bottom w:val="none" w:sz="0" w:space="0" w:color="auto"/>
        <w:right w:val="none" w:sz="0" w:space="0" w:color="auto"/>
      </w:divBdr>
    </w:div>
    <w:div w:id="1770616312">
      <w:bodyDiv w:val="1"/>
      <w:marLeft w:val="0"/>
      <w:marRight w:val="0"/>
      <w:marTop w:val="0"/>
      <w:marBottom w:val="0"/>
      <w:divBdr>
        <w:top w:val="none" w:sz="0" w:space="0" w:color="auto"/>
        <w:left w:val="none" w:sz="0" w:space="0" w:color="auto"/>
        <w:bottom w:val="none" w:sz="0" w:space="0" w:color="auto"/>
        <w:right w:val="none" w:sz="0" w:space="0" w:color="auto"/>
      </w:divBdr>
    </w:div>
    <w:div w:id="1773477368">
      <w:bodyDiv w:val="1"/>
      <w:marLeft w:val="0"/>
      <w:marRight w:val="0"/>
      <w:marTop w:val="0"/>
      <w:marBottom w:val="0"/>
      <w:divBdr>
        <w:top w:val="none" w:sz="0" w:space="0" w:color="auto"/>
        <w:left w:val="none" w:sz="0" w:space="0" w:color="auto"/>
        <w:bottom w:val="none" w:sz="0" w:space="0" w:color="auto"/>
        <w:right w:val="none" w:sz="0" w:space="0" w:color="auto"/>
      </w:divBdr>
    </w:div>
    <w:div w:id="1776174924">
      <w:bodyDiv w:val="1"/>
      <w:marLeft w:val="0"/>
      <w:marRight w:val="0"/>
      <w:marTop w:val="0"/>
      <w:marBottom w:val="0"/>
      <w:divBdr>
        <w:top w:val="none" w:sz="0" w:space="0" w:color="auto"/>
        <w:left w:val="none" w:sz="0" w:space="0" w:color="auto"/>
        <w:bottom w:val="none" w:sz="0" w:space="0" w:color="auto"/>
        <w:right w:val="none" w:sz="0" w:space="0" w:color="auto"/>
      </w:divBdr>
    </w:div>
    <w:div w:id="1791584056">
      <w:bodyDiv w:val="1"/>
      <w:marLeft w:val="0"/>
      <w:marRight w:val="0"/>
      <w:marTop w:val="0"/>
      <w:marBottom w:val="0"/>
      <w:divBdr>
        <w:top w:val="none" w:sz="0" w:space="0" w:color="auto"/>
        <w:left w:val="none" w:sz="0" w:space="0" w:color="auto"/>
        <w:bottom w:val="none" w:sz="0" w:space="0" w:color="auto"/>
        <w:right w:val="none" w:sz="0" w:space="0" w:color="auto"/>
      </w:divBdr>
    </w:div>
    <w:div w:id="1797747513">
      <w:bodyDiv w:val="1"/>
      <w:marLeft w:val="0"/>
      <w:marRight w:val="0"/>
      <w:marTop w:val="0"/>
      <w:marBottom w:val="0"/>
      <w:divBdr>
        <w:top w:val="none" w:sz="0" w:space="0" w:color="auto"/>
        <w:left w:val="none" w:sz="0" w:space="0" w:color="auto"/>
        <w:bottom w:val="none" w:sz="0" w:space="0" w:color="auto"/>
        <w:right w:val="none" w:sz="0" w:space="0" w:color="auto"/>
      </w:divBdr>
    </w:div>
    <w:div w:id="1802503056">
      <w:bodyDiv w:val="1"/>
      <w:marLeft w:val="0"/>
      <w:marRight w:val="0"/>
      <w:marTop w:val="0"/>
      <w:marBottom w:val="0"/>
      <w:divBdr>
        <w:top w:val="none" w:sz="0" w:space="0" w:color="auto"/>
        <w:left w:val="none" w:sz="0" w:space="0" w:color="auto"/>
        <w:bottom w:val="none" w:sz="0" w:space="0" w:color="auto"/>
        <w:right w:val="none" w:sz="0" w:space="0" w:color="auto"/>
      </w:divBdr>
    </w:div>
    <w:div w:id="1804494233">
      <w:bodyDiv w:val="1"/>
      <w:marLeft w:val="0"/>
      <w:marRight w:val="0"/>
      <w:marTop w:val="0"/>
      <w:marBottom w:val="0"/>
      <w:divBdr>
        <w:top w:val="none" w:sz="0" w:space="0" w:color="auto"/>
        <w:left w:val="none" w:sz="0" w:space="0" w:color="auto"/>
        <w:bottom w:val="none" w:sz="0" w:space="0" w:color="auto"/>
        <w:right w:val="none" w:sz="0" w:space="0" w:color="auto"/>
      </w:divBdr>
    </w:div>
    <w:div w:id="1807354146">
      <w:bodyDiv w:val="1"/>
      <w:marLeft w:val="0"/>
      <w:marRight w:val="0"/>
      <w:marTop w:val="0"/>
      <w:marBottom w:val="0"/>
      <w:divBdr>
        <w:top w:val="none" w:sz="0" w:space="0" w:color="auto"/>
        <w:left w:val="none" w:sz="0" w:space="0" w:color="auto"/>
        <w:bottom w:val="none" w:sz="0" w:space="0" w:color="auto"/>
        <w:right w:val="none" w:sz="0" w:space="0" w:color="auto"/>
      </w:divBdr>
    </w:div>
    <w:div w:id="1818448774">
      <w:bodyDiv w:val="1"/>
      <w:marLeft w:val="0"/>
      <w:marRight w:val="0"/>
      <w:marTop w:val="0"/>
      <w:marBottom w:val="0"/>
      <w:divBdr>
        <w:top w:val="none" w:sz="0" w:space="0" w:color="auto"/>
        <w:left w:val="none" w:sz="0" w:space="0" w:color="auto"/>
        <w:bottom w:val="none" w:sz="0" w:space="0" w:color="auto"/>
        <w:right w:val="none" w:sz="0" w:space="0" w:color="auto"/>
      </w:divBdr>
    </w:div>
    <w:div w:id="1833520536">
      <w:bodyDiv w:val="1"/>
      <w:marLeft w:val="0"/>
      <w:marRight w:val="0"/>
      <w:marTop w:val="0"/>
      <w:marBottom w:val="0"/>
      <w:divBdr>
        <w:top w:val="none" w:sz="0" w:space="0" w:color="auto"/>
        <w:left w:val="none" w:sz="0" w:space="0" w:color="auto"/>
        <w:bottom w:val="none" w:sz="0" w:space="0" w:color="auto"/>
        <w:right w:val="none" w:sz="0" w:space="0" w:color="auto"/>
      </w:divBdr>
    </w:div>
    <w:div w:id="1841851005">
      <w:bodyDiv w:val="1"/>
      <w:marLeft w:val="0"/>
      <w:marRight w:val="0"/>
      <w:marTop w:val="0"/>
      <w:marBottom w:val="0"/>
      <w:divBdr>
        <w:top w:val="none" w:sz="0" w:space="0" w:color="auto"/>
        <w:left w:val="none" w:sz="0" w:space="0" w:color="auto"/>
        <w:bottom w:val="none" w:sz="0" w:space="0" w:color="auto"/>
        <w:right w:val="none" w:sz="0" w:space="0" w:color="auto"/>
      </w:divBdr>
    </w:div>
    <w:div w:id="1853563454">
      <w:bodyDiv w:val="1"/>
      <w:marLeft w:val="0"/>
      <w:marRight w:val="0"/>
      <w:marTop w:val="0"/>
      <w:marBottom w:val="0"/>
      <w:divBdr>
        <w:top w:val="none" w:sz="0" w:space="0" w:color="auto"/>
        <w:left w:val="none" w:sz="0" w:space="0" w:color="auto"/>
        <w:bottom w:val="none" w:sz="0" w:space="0" w:color="auto"/>
        <w:right w:val="none" w:sz="0" w:space="0" w:color="auto"/>
      </w:divBdr>
    </w:div>
    <w:div w:id="1869291628">
      <w:bodyDiv w:val="1"/>
      <w:marLeft w:val="0"/>
      <w:marRight w:val="0"/>
      <w:marTop w:val="0"/>
      <w:marBottom w:val="0"/>
      <w:divBdr>
        <w:top w:val="none" w:sz="0" w:space="0" w:color="auto"/>
        <w:left w:val="none" w:sz="0" w:space="0" w:color="auto"/>
        <w:bottom w:val="none" w:sz="0" w:space="0" w:color="auto"/>
        <w:right w:val="none" w:sz="0" w:space="0" w:color="auto"/>
      </w:divBdr>
    </w:div>
    <w:div w:id="1872108962">
      <w:bodyDiv w:val="1"/>
      <w:marLeft w:val="0"/>
      <w:marRight w:val="0"/>
      <w:marTop w:val="0"/>
      <w:marBottom w:val="0"/>
      <w:divBdr>
        <w:top w:val="none" w:sz="0" w:space="0" w:color="auto"/>
        <w:left w:val="none" w:sz="0" w:space="0" w:color="auto"/>
        <w:bottom w:val="none" w:sz="0" w:space="0" w:color="auto"/>
        <w:right w:val="none" w:sz="0" w:space="0" w:color="auto"/>
      </w:divBdr>
      <w:divsChild>
        <w:div w:id="1098983656">
          <w:marLeft w:val="0"/>
          <w:marRight w:val="0"/>
          <w:marTop w:val="0"/>
          <w:marBottom w:val="0"/>
          <w:divBdr>
            <w:top w:val="none" w:sz="0" w:space="0" w:color="auto"/>
            <w:left w:val="none" w:sz="0" w:space="0" w:color="auto"/>
            <w:bottom w:val="none" w:sz="0" w:space="0" w:color="auto"/>
            <w:right w:val="none" w:sz="0" w:space="0" w:color="auto"/>
          </w:divBdr>
          <w:divsChild>
            <w:div w:id="505749825">
              <w:marLeft w:val="0"/>
              <w:marRight w:val="0"/>
              <w:marTop w:val="0"/>
              <w:marBottom w:val="0"/>
              <w:divBdr>
                <w:top w:val="none" w:sz="0" w:space="0" w:color="auto"/>
                <w:left w:val="none" w:sz="0" w:space="0" w:color="auto"/>
                <w:bottom w:val="none" w:sz="0" w:space="0" w:color="auto"/>
                <w:right w:val="none" w:sz="0" w:space="0" w:color="auto"/>
              </w:divBdr>
              <w:divsChild>
                <w:div w:id="1645164378">
                  <w:marLeft w:val="4000"/>
                  <w:marRight w:val="0"/>
                  <w:marTop w:val="0"/>
                  <w:marBottom w:val="0"/>
                  <w:divBdr>
                    <w:top w:val="none" w:sz="0" w:space="0" w:color="auto"/>
                    <w:left w:val="none" w:sz="0" w:space="0" w:color="auto"/>
                    <w:bottom w:val="none" w:sz="0" w:space="0" w:color="auto"/>
                    <w:right w:val="none" w:sz="0" w:space="0" w:color="auto"/>
                  </w:divBdr>
                  <w:divsChild>
                    <w:div w:id="60178242">
                      <w:marLeft w:val="0"/>
                      <w:marRight w:val="0"/>
                      <w:marTop w:val="0"/>
                      <w:marBottom w:val="0"/>
                      <w:divBdr>
                        <w:top w:val="none" w:sz="0" w:space="0" w:color="auto"/>
                        <w:left w:val="single" w:sz="8" w:space="20" w:color="D7D7D2"/>
                        <w:bottom w:val="none" w:sz="0" w:space="0" w:color="auto"/>
                        <w:right w:val="none" w:sz="0" w:space="0" w:color="auto"/>
                      </w:divBdr>
                      <w:divsChild>
                        <w:div w:id="129933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2495337">
      <w:bodyDiv w:val="1"/>
      <w:marLeft w:val="0"/>
      <w:marRight w:val="0"/>
      <w:marTop w:val="0"/>
      <w:marBottom w:val="0"/>
      <w:divBdr>
        <w:top w:val="none" w:sz="0" w:space="0" w:color="auto"/>
        <w:left w:val="none" w:sz="0" w:space="0" w:color="auto"/>
        <w:bottom w:val="none" w:sz="0" w:space="0" w:color="auto"/>
        <w:right w:val="none" w:sz="0" w:space="0" w:color="auto"/>
      </w:divBdr>
    </w:div>
    <w:div w:id="1880240099">
      <w:bodyDiv w:val="1"/>
      <w:marLeft w:val="0"/>
      <w:marRight w:val="0"/>
      <w:marTop w:val="0"/>
      <w:marBottom w:val="0"/>
      <w:divBdr>
        <w:top w:val="none" w:sz="0" w:space="0" w:color="auto"/>
        <w:left w:val="none" w:sz="0" w:space="0" w:color="auto"/>
        <w:bottom w:val="none" w:sz="0" w:space="0" w:color="auto"/>
        <w:right w:val="none" w:sz="0" w:space="0" w:color="auto"/>
      </w:divBdr>
    </w:div>
    <w:div w:id="1884488154">
      <w:bodyDiv w:val="1"/>
      <w:marLeft w:val="0"/>
      <w:marRight w:val="0"/>
      <w:marTop w:val="0"/>
      <w:marBottom w:val="0"/>
      <w:divBdr>
        <w:top w:val="none" w:sz="0" w:space="0" w:color="auto"/>
        <w:left w:val="none" w:sz="0" w:space="0" w:color="auto"/>
        <w:bottom w:val="none" w:sz="0" w:space="0" w:color="auto"/>
        <w:right w:val="none" w:sz="0" w:space="0" w:color="auto"/>
      </w:divBdr>
    </w:div>
    <w:div w:id="1887568080">
      <w:bodyDiv w:val="1"/>
      <w:marLeft w:val="0"/>
      <w:marRight w:val="0"/>
      <w:marTop w:val="0"/>
      <w:marBottom w:val="0"/>
      <w:divBdr>
        <w:top w:val="none" w:sz="0" w:space="0" w:color="auto"/>
        <w:left w:val="none" w:sz="0" w:space="0" w:color="auto"/>
        <w:bottom w:val="none" w:sz="0" w:space="0" w:color="auto"/>
        <w:right w:val="none" w:sz="0" w:space="0" w:color="auto"/>
      </w:divBdr>
    </w:div>
    <w:div w:id="1903708526">
      <w:bodyDiv w:val="1"/>
      <w:marLeft w:val="0"/>
      <w:marRight w:val="0"/>
      <w:marTop w:val="0"/>
      <w:marBottom w:val="0"/>
      <w:divBdr>
        <w:top w:val="none" w:sz="0" w:space="0" w:color="auto"/>
        <w:left w:val="none" w:sz="0" w:space="0" w:color="auto"/>
        <w:bottom w:val="none" w:sz="0" w:space="0" w:color="auto"/>
        <w:right w:val="none" w:sz="0" w:space="0" w:color="auto"/>
      </w:divBdr>
    </w:div>
    <w:div w:id="1905869175">
      <w:bodyDiv w:val="1"/>
      <w:marLeft w:val="0"/>
      <w:marRight w:val="0"/>
      <w:marTop w:val="0"/>
      <w:marBottom w:val="0"/>
      <w:divBdr>
        <w:top w:val="none" w:sz="0" w:space="0" w:color="auto"/>
        <w:left w:val="none" w:sz="0" w:space="0" w:color="auto"/>
        <w:bottom w:val="none" w:sz="0" w:space="0" w:color="auto"/>
        <w:right w:val="none" w:sz="0" w:space="0" w:color="auto"/>
      </w:divBdr>
      <w:divsChild>
        <w:div w:id="404958347">
          <w:marLeft w:val="0"/>
          <w:marRight w:val="0"/>
          <w:marTop w:val="0"/>
          <w:marBottom w:val="0"/>
          <w:divBdr>
            <w:top w:val="single" w:sz="6" w:space="0" w:color="FFFFFF"/>
            <w:left w:val="single" w:sz="6" w:space="0" w:color="FFFFFF"/>
            <w:bottom w:val="none" w:sz="0" w:space="0" w:color="auto"/>
            <w:right w:val="single" w:sz="6" w:space="0" w:color="FFFFFF"/>
          </w:divBdr>
          <w:divsChild>
            <w:div w:id="1574972600">
              <w:marLeft w:val="4344"/>
              <w:marRight w:val="0"/>
              <w:marTop w:val="0"/>
              <w:marBottom w:val="0"/>
              <w:divBdr>
                <w:top w:val="none" w:sz="0" w:space="0" w:color="auto"/>
                <w:left w:val="none" w:sz="0" w:space="0" w:color="auto"/>
                <w:bottom w:val="none" w:sz="0" w:space="0" w:color="auto"/>
                <w:right w:val="none" w:sz="0" w:space="0" w:color="auto"/>
              </w:divBdr>
              <w:divsChild>
                <w:div w:id="1526283534">
                  <w:marLeft w:val="0"/>
                  <w:marRight w:val="0"/>
                  <w:marTop w:val="0"/>
                  <w:marBottom w:val="0"/>
                  <w:divBdr>
                    <w:top w:val="none" w:sz="0" w:space="0" w:color="auto"/>
                    <w:left w:val="none" w:sz="0" w:space="0" w:color="auto"/>
                    <w:bottom w:val="none" w:sz="0" w:space="0" w:color="auto"/>
                    <w:right w:val="none" w:sz="0" w:space="0" w:color="auto"/>
                  </w:divBdr>
                  <w:divsChild>
                    <w:div w:id="543754093">
                      <w:marLeft w:val="0"/>
                      <w:marRight w:val="0"/>
                      <w:marTop w:val="0"/>
                      <w:marBottom w:val="0"/>
                      <w:divBdr>
                        <w:top w:val="none" w:sz="0" w:space="0" w:color="auto"/>
                        <w:left w:val="none" w:sz="0" w:space="0" w:color="auto"/>
                        <w:bottom w:val="none" w:sz="0" w:space="0" w:color="auto"/>
                        <w:right w:val="none" w:sz="0" w:space="0" w:color="auto"/>
                      </w:divBdr>
                      <w:divsChild>
                        <w:div w:id="1180510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7718426">
      <w:bodyDiv w:val="1"/>
      <w:marLeft w:val="0"/>
      <w:marRight w:val="0"/>
      <w:marTop w:val="0"/>
      <w:marBottom w:val="0"/>
      <w:divBdr>
        <w:top w:val="none" w:sz="0" w:space="0" w:color="auto"/>
        <w:left w:val="none" w:sz="0" w:space="0" w:color="auto"/>
        <w:bottom w:val="none" w:sz="0" w:space="0" w:color="auto"/>
        <w:right w:val="none" w:sz="0" w:space="0" w:color="auto"/>
      </w:divBdr>
    </w:div>
    <w:div w:id="1916545533">
      <w:bodyDiv w:val="1"/>
      <w:marLeft w:val="0"/>
      <w:marRight w:val="0"/>
      <w:marTop w:val="0"/>
      <w:marBottom w:val="0"/>
      <w:divBdr>
        <w:top w:val="none" w:sz="0" w:space="0" w:color="auto"/>
        <w:left w:val="none" w:sz="0" w:space="0" w:color="auto"/>
        <w:bottom w:val="none" w:sz="0" w:space="0" w:color="auto"/>
        <w:right w:val="none" w:sz="0" w:space="0" w:color="auto"/>
      </w:divBdr>
    </w:div>
    <w:div w:id="1920289943">
      <w:bodyDiv w:val="1"/>
      <w:marLeft w:val="0"/>
      <w:marRight w:val="0"/>
      <w:marTop w:val="0"/>
      <w:marBottom w:val="0"/>
      <w:divBdr>
        <w:top w:val="none" w:sz="0" w:space="0" w:color="auto"/>
        <w:left w:val="none" w:sz="0" w:space="0" w:color="auto"/>
        <w:bottom w:val="none" w:sz="0" w:space="0" w:color="auto"/>
        <w:right w:val="none" w:sz="0" w:space="0" w:color="auto"/>
      </w:divBdr>
    </w:div>
    <w:div w:id="1922905383">
      <w:bodyDiv w:val="1"/>
      <w:marLeft w:val="0"/>
      <w:marRight w:val="0"/>
      <w:marTop w:val="0"/>
      <w:marBottom w:val="0"/>
      <w:divBdr>
        <w:top w:val="none" w:sz="0" w:space="0" w:color="auto"/>
        <w:left w:val="none" w:sz="0" w:space="0" w:color="auto"/>
        <w:bottom w:val="none" w:sz="0" w:space="0" w:color="auto"/>
        <w:right w:val="none" w:sz="0" w:space="0" w:color="auto"/>
      </w:divBdr>
    </w:div>
    <w:div w:id="1923293561">
      <w:bodyDiv w:val="1"/>
      <w:marLeft w:val="0"/>
      <w:marRight w:val="0"/>
      <w:marTop w:val="0"/>
      <w:marBottom w:val="0"/>
      <w:divBdr>
        <w:top w:val="none" w:sz="0" w:space="0" w:color="auto"/>
        <w:left w:val="none" w:sz="0" w:space="0" w:color="auto"/>
        <w:bottom w:val="none" w:sz="0" w:space="0" w:color="auto"/>
        <w:right w:val="none" w:sz="0" w:space="0" w:color="auto"/>
      </w:divBdr>
    </w:div>
    <w:div w:id="1925986869">
      <w:bodyDiv w:val="1"/>
      <w:marLeft w:val="0"/>
      <w:marRight w:val="0"/>
      <w:marTop w:val="0"/>
      <w:marBottom w:val="0"/>
      <w:divBdr>
        <w:top w:val="none" w:sz="0" w:space="0" w:color="auto"/>
        <w:left w:val="none" w:sz="0" w:space="0" w:color="auto"/>
        <w:bottom w:val="none" w:sz="0" w:space="0" w:color="auto"/>
        <w:right w:val="none" w:sz="0" w:space="0" w:color="auto"/>
      </w:divBdr>
    </w:div>
    <w:div w:id="1927880921">
      <w:bodyDiv w:val="1"/>
      <w:marLeft w:val="0"/>
      <w:marRight w:val="0"/>
      <w:marTop w:val="0"/>
      <w:marBottom w:val="0"/>
      <w:divBdr>
        <w:top w:val="none" w:sz="0" w:space="0" w:color="auto"/>
        <w:left w:val="none" w:sz="0" w:space="0" w:color="auto"/>
        <w:bottom w:val="none" w:sz="0" w:space="0" w:color="auto"/>
        <w:right w:val="none" w:sz="0" w:space="0" w:color="auto"/>
      </w:divBdr>
    </w:div>
    <w:div w:id="1936160933">
      <w:bodyDiv w:val="1"/>
      <w:marLeft w:val="0"/>
      <w:marRight w:val="0"/>
      <w:marTop w:val="0"/>
      <w:marBottom w:val="0"/>
      <w:divBdr>
        <w:top w:val="none" w:sz="0" w:space="0" w:color="auto"/>
        <w:left w:val="none" w:sz="0" w:space="0" w:color="auto"/>
        <w:bottom w:val="none" w:sz="0" w:space="0" w:color="auto"/>
        <w:right w:val="none" w:sz="0" w:space="0" w:color="auto"/>
      </w:divBdr>
    </w:div>
    <w:div w:id="1943948675">
      <w:bodyDiv w:val="1"/>
      <w:marLeft w:val="0"/>
      <w:marRight w:val="0"/>
      <w:marTop w:val="0"/>
      <w:marBottom w:val="0"/>
      <w:divBdr>
        <w:top w:val="none" w:sz="0" w:space="0" w:color="auto"/>
        <w:left w:val="none" w:sz="0" w:space="0" w:color="auto"/>
        <w:bottom w:val="none" w:sz="0" w:space="0" w:color="auto"/>
        <w:right w:val="none" w:sz="0" w:space="0" w:color="auto"/>
      </w:divBdr>
    </w:div>
    <w:div w:id="1947693198">
      <w:bodyDiv w:val="1"/>
      <w:marLeft w:val="0"/>
      <w:marRight w:val="0"/>
      <w:marTop w:val="0"/>
      <w:marBottom w:val="0"/>
      <w:divBdr>
        <w:top w:val="none" w:sz="0" w:space="0" w:color="auto"/>
        <w:left w:val="none" w:sz="0" w:space="0" w:color="auto"/>
        <w:bottom w:val="none" w:sz="0" w:space="0" w:color="auto"/>
        <w:right w:val="none" w:sz="0" w:space="0" w:color="auto"/>
      </w:divBdr>
      <w:divsChild>
        <w:div w:id="2121489794">
          <w:marLeft w:val="0"/>
          <w:marRight w:val="0"/>
          <w:marTop w:val="0"/>
          <w:marBottom w:val="0"/>
          <w:divBdr>
            <w:top w:val="none" w:sz="0" w:space="0" w:color="auto"/>
            <w:left w:val="none" w:sz="0" w:space="0" w:color="auto"/>
            <w:bottom w:val="none" w:sz="0" w:space="0" w:color="auto"/>
            <w:right w:val="none" w:sz="0" w:space="0" w:color="auto"/>
          </w:divBdr>
          <w:divsChild>
            <w:div w:id="438910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9463983">
      <w:bodyDiv w:val="1"/>
      <w:marLeft w:val="0"/>
      <w:marRight w:val="0"/>
      <w:marTop w:val="0"/>
      <w:marBottom w:val="0"/>
      <w:divBdr>
        <w:top w:val="none" w:sz="0" w:space="0" w:color="auto"/>
        <w:left w:val="none" w:sz="0" w:space="0" w:color="auto"/>
        <w:bottom w:val="none" w:sz="0" w:space="0" w:color="auto"/>
        <w:right w:val="none" w:sz="0" w:space="0" w:color="auto"/>
      </w:divBdr>
    </w:div>
    <w:div w:id="1963461750">
      <w:bodyDiv w:val="1"/>
      <w:marLeft w:val="0"/>
      <w:marRight w:val="0"/>
      <w:marTop w:val="0"/>
      <w:marBottom w:val="0"/>
      <w:divBdr>
        <w:top w:val="none" w:sz="0" w:space="0" w:color="auto"/>
        <w:left w:val="none" w:sz="0" w:space="0" w:color="auto"/>
        <w:bottom w:val="none" w:sz="0" w:space="0" w:color="auto"/>
        <w:right w:val="none" w:sz="0" w:space="0" w:color="auto"/>
      </w:divBdr>
    </w:div>
    <w:div w:id="1964261084">
      <w:bodyDiv w:val="1"/>
      <w:marLeft w:val="0"/>
      <w:marRight w:val="0"/>
      <w:marTop w:val="0"/>
      <w:marBottom w:val="0"/>
      <w:divBdr>
        <w:top w:val="none" w:sz="0" w:space="0" w:color="auto"/>
        <w:left w:val="none" w:sz="0" w:space="0" w:color="auto"/>
        <w:bottom w:val="none" w:sz="0" w:space="0" w:color="auto"/>
        <w:right w:val="none" w:sz="0" w:space="0" w:color="auto"/>
      </w:divBdr>
    </w:div>
    <w:div w:id="1970433710">
      <w:bodyDiv w:val="1"/>
      <w:marLeft w:val="0"/>
      <w:marRight w:val="0"/>
      <w:marTop w:val="0"/>
      <w:marBottom w:val="0"/>
      <w:divBdr>
        <w:top w:val="none" w:sz="0" w:space="0" w:color="auto"/>
        <w:left w:val="none" w:sz="0" w:space="0" w:color="auto"/>
        <w:bottom w:val="none" w:sz="0" w:space="0" w:color="auto"/>
        <w:right w:val="none" w:sz="0" w:space="0" w:color="auto"/>
      </w:divBdr>
    </w:div>
    <w:div w:id="1971931485">
      <w:bodyDiv w:val="1"/>
      <w:marLeft w:val="0"/>
      <w:marRight w:val="0"/>
      <w:marTop w:val="0"/>
      <w:marBottom w:val="0"/>
      <w:divBdr>
        <w:top w:val="none" w:sz="0" w:space="0" w:color="auto"/>
        <w:left w:val="none" w:sz="0" w:space="0" w:color="auto"/>
        <w:bottom w:val="none" w:sz="0" w:space="0" w:color="auto"/>
        <w:right w:val="none" w:sz="0" w:space="0" w:color="auto"/>
      </w:divBdr>
    </w:div>
    <w:div w:id="1982420312">
      <w:bodyDiv w:val="1"/>
      <w:marLeft w:val="0"/>
      <w:marRight w:val="0"/>
      <w:marTop w:val="0"/>
      <w:marBottom w:val="0"/>
      <w:divBdr>
        <w:top w:val="none" w:sz="0" w:space="0" w:color="auto"/>
        <w:left w:val="none" w:sz="0" w:space="0" w:color="auto"/>
        <w:bottom w:val="none" w:sz="0" w:space="0" w:color="auto"/>
        <w:right w:val="none" w:sz="0" w:space="0" w:color="auto"/>
      </w:divBdr>
    </w:div>
    <w:div w:id="1983805830">
      <w:bodyDiv w:val="1"/>
      <w:marLeft w:val="0"/>
      <w:marRight w:val="0"/>
      <w:marTop w:val="0"/>
      <w:marBottom w:val="0"/>
      <w:divBdr>
        <w:top w:val="none" w:sz="0" w:space="0" w:color="auto"/>
        <w:left w:val="none" w:sz="0" w:space="0" w:color="auto"/>
        <w:bottom w:val="none" w:sz="0" w:space="0" w:color="auto"/>
        <w:right w:val="none" w:sz="0" w:space="0" w:color="auto"/>
      </w:divBdr>
    </w:div>
    <w:div w:id="1994332287">
      <w:bodyDiv w:val="1"/>
      <w:marLeft w:val="0"/>
      <w:marRight w:val="0"/>
      <w:marTop w:val="0"/>
      <w:marBottom w:val="0"/>
      <w:divBdr>
        <w:top w:val="none" w:sz="0" w:space="0" w:color="auto"/>
        <w:left w:val="none" w:sz="0" w:space="0" w:color="auto"/>
        <w:bottom w:val="none" w:sz="0" w:space="0" w:color="auto"/>
        <w:right w:val="none" w:sz="0" w:space="0" w:color="auto"/>
      </w:divBdr>
    </w:div>
    <w:div w:id="1994791710">
      <w:bodyDiv w:val="1"/>
      <w:marLeft w:val="0"/>
      <w:marRight w:val="0"/>
      <w:marTop w:val="0"/>
      <w:marBottom w:val="0"/>
      <w:divBdr>
        <w:top w:val="none" w:sz="0" w:space="0" w:color="auto"/>
        <w:left w:val="none" w:sz="0" w:space="0" w:color="auto"/>
        <w:bottom w:val="none" w:sz="0" w:space="0" w:color="auto"/>
        <w:right w:val="none" w:sz="0" w:space="0" w:color="auto"/>
      </w:divBdr>
    </w:div>
    <w:div w:id="2006547607">
      <w:bodyDiv w:val="1"/>
      <w:marLeft w:val="0"/>
      <w:marRight w:val="0"/>
      <w:marTop w:val="0"/>
      <w:marBottom w:val="0"/>
      <w:divBdr>
        <w:top w:val="none" w:sz="0" w:space="0" w:color="auto"/>
        <w:left w:val="none" w:sz="0" w:space="0" w:color="auto"/>
        <w:bottom w:val="none" w:sz="0" w:space="0" w:color="auto"/>
        <w:right w:val="none" w:sz="0" w:space="0" w:color="auto"/>
      </w:divBdr>
    </w:div>
    <w:div w:id="2009400643">
      <w:bodyDiv w:val="1"/>
      <w:marLeft w:val="0"/>
      <w:marRight w:val="0"/>
      <w:marTop w:val="0"/>
      <w:marBottom w:val="0"/>
      <w:divBdr>
        <w:top w:val="none" w:sz="0" w:space="0" w:color="auto"/>
        <w:left w:val="none" w:sz="0" w:space="0" w:color="auto"/>
        <w:bottom w:val="none" w:sz="0" w:space="0" w:color="auto"/>
        <w:right w:val="none" w:sz="0" w:space="0" w:color="auto"/>
      </w:divBdr>
      <w:divsChild>
        <w:div w:id="1976521333">
          <w:marLeft w:val="0"/>
          <w:marRight w:val="0"/>
          <w:marTop w:val="0"/>
          <w:marBottom w:val="0"/>
          <w:divBdr>
            <w:top w:val="single" w:sz="6" w:space="0" w:color="FFFFFF"/>
            <w:left w:val="single" w:sz="6" w:space="0" w:color="FFFFFF"/>
            <w:bottom w:val="none" w:sz="0" w:space="0" w:color="auto"/>
            <w:right w:val="single" w:sz="6" w:space="0" w:color="FFFFFF"/>
          </w:divBdr>
          <w:divsChild>
            <w:div w:id="626393248">
              <w:marLeft w:val="4344"/>
              <w:marRight w:val="0"/>
              <w:marTop w:val="0"/>
              <w:marBottom w:val="0"/>
              <w:divBdr>
                <w:top w:val="none" w:sz="0" w:space="0" w:color="auto"/>
                <w:left w:val="none" w:sz="0" w:space="0" w:color="auto"/>
                <w:bottom w:val="none" w:sz="0" w:space="0" w:color="auto"/>
                <w:right w:val="none" w:sz="0" w:space="0" w:color="auto"/>
              </w:divBdr>
              <w:divsChild>
                <w:div w:id="257911713">
                  <w:marLeft w:val="0"/>
                  <w:marRight w:val="0"/>
                  <w:marTop w:val="0"/>
                  <w:marBottom w:val="0"/>
                  <w:divBdr>
                    <w:top w:val="none" w:sz="0" w:space="0" w:color="auto"/>
                    <w:left w:val="none" w:sz="0" w:space="0" w:color="auto"/>
                    <w:bottom w:val="none" w:sz="0" w:space="0" w:color="auto"/>
                    <w:right w:val="none" w:sz="0" w:space="0" w:color="auto"/>
                  </w:divBdr>
                  <w:divsChild>
                    <w:div w:id="1226989492">
                      <w:marLeft w:val="0"/>
                      <w:marRight w:val="0"/>
                      <w:marTop w:val="0"/>
                      <w:marBottom w:val="0"/>
                      <w:divBdr>
                        <w:top w:val="none" w:sz="0" w:space="0" w:color="auto"/>
                        <w:left w:val="none" w:sz="0" w:space="0" w:color="auto"/>
                        <w:bottom w:val="none" w:sz="0" w:space="0" w:color="auto"/>
                        <w:right w:val="none" w:sz="0" w:space="0" w:color="auto"/>
                      </w:divBdr>
                      <w:divsChild>
                        <w:div w:id="1469859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6608765">
      <w:bodyDiv w:val="1"/>
      <w:marLeft w:val="0"/>
      <w:marRight w:val="0"/>
      <w:marTop w:val="0"/>
      <w:marBottom w:val="0"/>
      <w:divBdr>
        <w:top w:val="none" w:sz="0" w:space="0" w:color="auto"/>
        <w:left w:val="none" w:sz="0" w:space="0" w:color="auto"/>
        <w:bottom w:val="none" w:sz="0" w:space="0" w:color="auto"/>
        <w:right w:val="none" w:sz="0" w:space="0" w:color="auto"/>
      </w:divBdr>
    </w:div>
    <w:div w:id="2018998530">
      <w:bodyDiv w:val="1"/>
      <w:marLeft w:val="0"/>
      <w:marRight w:val="0"/>
      <w:marTop w:val="0"/>
      <w:marBottom w:val="0"/>
      <w:divBdr>
        <w:top w:val="none" w:sz="0" w:space="0" w:color="auto"/>
        <w:left w:val="none" w:sz="0" w:space="0" w:color="auto"/>
        <w:bottom w:val="none" w:sz="0" w:space="0" w:color="auto"/>
        <w:right w:val="none" w:sz="0" w:space="0" w:color="auto"/>
      </w:divBdr>
    </w:div>
    <w:div w:id="2023162683">
      <w:bodyDiv w:val="1"/>
      <w:marLeft w:val="0"/>
      <w:marRight w:val="0"/>
      <w:marTop w:val="0"/>
      <w:marBottom w:val="0"/>
      <w:divBdr>
        <w:top w:val="none" w:sz="0" w:space="0" w:color="auto"/>
        <w:left w:val="none" w:sz="0" w:space="0" w:color="auto"/>
        <w:bottom w:val="none" w:sz="0" w:space="0" w:color="auto"/>
        <w:right w:val="none" w:sz="0" w:space="0" w:color="auto"/>
      </w:divBdr>
    </w:div>
    <w:div w:id="2030523428">
      <w:bodyDiv w:val="1"/>
      <w:marLeft w:val="0"/>
      <w:marRight w:val="0"/>
      <w:marTop w:val="0"/>
      <w:marBottom w:val="0"/>
      <w:divBdr>
        <w:top w:val="none" w:sz="0" w:space="0" w:color="auto"/>
        <w:left w:val="none" w:sz="0" w:space="0" w:color="auto"/>
        <w:bottom w:val="none" w:sz="0" w:space="0" w:color="auto"/>
        <w:right w:val="none" w:sz="0" w:space="0" w:color="auto"/>
      </w:divBdr>
    </w:div>
    <w:div w:id="2034960566">
      <w:bodyDiv w:val="1"/>
      <w:marLeft w:val="0"/>
      <w:marRight w:val="0"/>
      <w:marTop w:val="0"/>
      <w:marBottom w:val="0"/>
      <w:divBdr>
        <w:top w:val="none" w:sz="0" w:space="0" w:color="auto"/>
        <w:left w:val="none" w:sz="0" w:space="0" w:color="auto"/>
        <w:bottom w:val="none" w:sz="0" w:space="0" w:color="auto"/>
        <w:right w:val="none" w:sz="0" w:space="0" w:color="auto"/>
      </w:divBdr>
    </w:div>
    <w:div w:id="2047173983">
      <w:bodyDiv w:val="1"/>
      <w:marLeft w:val="0"/>
      <w:marRight w:val="0"/>
      <w:marTop w:val="0"/>
      <w:marBottom w:val="0"/>
      <w:divBdr>
        <w:top w:val="none" w:sz="0" w:space="0" w:color="auto"/>
        <w:left w:val="none" w:sz="0" w:space="0" w:color="auto"/>
        <w:bottom w:val="none" w:sz="0" w:space="0" w:color="auto"/>
        <w:right w:val="none" w:sz="0" w:space="0" w:color="auto"/>
      </w:divBdr>
    </w:div>
    <w:div w:id="2067678533">
      <w:bodyDiv w:val="1"/>
      <w:marLeft w:val="0"/>
      <w:marRight w:val="0"/>
      <w:marTop w:val="0"/>
      <w:marBottom w:val="0"/>
      <w:divBdr>
        <w:top w:val="none" w:sz="0" w:space="0" w:color="auto"/>
        <w:left w:val="none" w:sz="0" w:space="0" w:color="auto"/>
        <w:bottom w:val="none" w:sz="0" w:space="0" w:color="auto"/>
        <w:right w:val="none" w:sz="0" w:space="0" w:color="auto"/>
      </w:divBdr>
    </w:div>
    <w:div w:id="2077436000">
      <w:bodyDiv w:val="1"/>
      <w:marLeft w:val="0"/>
      <w:marRight w:val="0"/>
      <w:marTop w:val="0"/>
      <w:marBottom w:val="0"/>
      <w:divBdr>
        <w:top w:val="none" w:sz="0" w:space="0" w:color="auto"/>
        <w:left w:val="none" w:sz="0" w:space="0" w:color="auto"/>
        <w:bottom w:val="none" w:sz="0" w:space="0" w:color="auto"/>
        <w:right w:val="none" w:sz="0" w:space="0" w:color="auto"/>
      </w:divBdr>
    </w:div>
    <w:div w:id="2079745165">
      <w:bodyDiv w:val="1"/>
      <w:marLeft w:val="0"/>
      <w:marRight w:val="0"/>
      <w:marTop w:val="0"/>
      <w:marBottom w:val="0"/>
      <w:divBdr>
        <w:top w:val="none" w:sz="0" w:space="0" w:color="auto"/>
        <w:left w:val="none" w:sz="0" w:space="0" w:color="auto"/>
        <w:bottom w:val="none" w:sz="0" w:space="0" w:color="auto"/>
        <w:right w:val="none" w:sz="0" w:space="0" w:color="auto"/>
      </w:divBdr>
    </w:div>
    <w:div w:id="2088763754">
      <w:bodyDiv w:val="1"/>
      <w:marLeft w:val="0"/>
      <w:marRight w:val="0"/>
      <w:marTop w:val="0"/>
      <w:marBottom w:val="0"/>
      <w:divBdr>
        <w:top w:val="none" w:sz="0" w:space="0" w:color="auto"/>
        <w:left w:val="none" w:sz="0" w:space="0" w:color="auto"/>
        <w:bottom w:val="none" w:sz="0" w:space="0" w:color="auto"/>
        <w:right w:val="none" w:sz="0" w:space="0" w:color="auto"/>
      </w:divBdr>
    </w:div>
    <w:div w:id="2093550368">
      <w:bodyDiv w:val="1"/>
      <w:marLeft w:val="0"/>
      <w:marRight w:val="0"/>
      <w:marTop w:val="0"/>
      <w:marBottom w:val="0"/>
      <w:divBdr>
        <w:top w:val="none" w:sz="0" w:space="0" w:color="auto"/>
        <w:left w:val="none" w:sz="0" w:space="0" w:color="auto"/>
        <w:bottom w:val="none" w:sz="0" w:space="0" w:color="auto"/>
        <w:right w:val="none" w:sz="0" w:space="0" w:color="auto"/>
      </w:divBdr>
    </w:div>
    <w:div w:id="2114744420">
      <w:bodyDiv w:val="1"/>
      <w:marLeft w:val="0"/>
      <w:marRight w:val="0"/>
      <w:marTop w:val="0"/>
      <w:marBottom w:val="0"/>
      <w:divBdr>
        <w:top w:val="none" w:sz="0" w:space="0" w:color="auto"/>
        <w:left w:val="none" w:sz="0" w:space="0" w:color="auto"/>
        <w:bottom w:val="none" w:sz="0" w:space="0" w:color="auto"/>
        <w:right w:val="none" w:sz="0" w:space="0" w:color="auto"/>
      </w:divBdr>
    </w:div>
    <w:div w:id="2131701061">
      <w:bodyDiv w:val="1"/>
      <w:marLeft w:val="0"/>
      <w:marRight w:val="0"/>
      <w:marTop w:val="0"/>
      <w:marBottom w:val="0"/>
      <w:divBdr>
        <w:top w:val="none" w:sz="0" w:space="0" w:color="auto"/>
        <w:left w:val="none" w:sz="0" w:space="0" w:color="auto"/>
        <w:bottom w:val="none" w:sz="0" w:space="0" w:color="auto"/>
        <w:right w:val="none" w:sz="0" w:space="0" w:color="auto"/>
      </w:divBdr>
    </w:div>
    <w:div w:id="2132740738">
      <w:bodyDiv w:val="1"/>
      <w:marLeft w:val="0"/>
      <w:marRight w:val="0"/>
      <w:marTop w:val="0"/>
      <w:marBottom w:val="0"/>
      <w:divBdr>
        <w:top w:val="none" w:sz="0" w:space="0" w:color="auto"/>
        <w:left w:val="none" w:sz="0" w:space="0" w:color="auto"/>
        <w:bottom w:val="none" w:sz="0" w:space="0" w:color="auto"/>
        <w:right w:val="none" w:sz="0" w:space="0" w:color="auto"/>
      </w:divBdr>
    </w:div>
    <w:div w:id="2139301821">
      <w:bodyDiv w:val="1"/>
      <w:marLeft w:val="0"/>
      <w:marRight w:val="0"/>
      <w:marTop w:val="0"/>
      <w:marBottom w:val="0"/>
      <w:divBdr>
        <w:top w:val="none" w:sz="0" w:space="0" w:color="auto"/>
        <w:left w:val="none" w:sz="0" w:space="0" w:color="auto"/>
        <w:bottom w:val="none" w:sz="0" w:space="0" w:color="auto"/>
        <w:right w:val="none" w:sz="0" w:space="0" w:color="auto"/>
      </w:divBdr>
    </w:div>
    <w:div w:id="2141266927">
      <w:bodyDiv w:val="1"/>
      <w:marLeft w:val="0"/>
      <w:marRight w:val="0"/>
      <w:marTop w:val="0"/>
      <w:marBottom w:val="0"/>
      <w:divBdr>
        <w:top w:val="none" w:sz="0" w:space="0" w:color="auto"/>
        <w:left w:val="none" w:sz="0" w:space="0" w:color="auto"/>
        <w:bottom w:val="none" w:sz="0" w:space="0" w:color="auto"/>
        <w:right w:val="none" w:sz="0" w:space="0" w:color="auto"/>
      </w:divBdr>
      <w:divsChild>
        <w:div w:id="1766605675">
          <w:marLeft w:val="0"/>
          <w:marRight w:val="0"/>
          <w:marTop w:val="0"/>
          <w:marBottom w:val="0"/>
          <w:divBdr>
            <w:top w:val="none" w:sz="0" w:space="0" w:color="auto"/>
            <w:left w:val="none" w:sz="0" w:space="0" w:color="auto"/>
            <w:bottom w:val="none" w:sz="0" w:space="0" w:color="auto"/>
            <w:right w:val="none" w:sz="0" w:space="0" w:color="auto"/>
          </w:divBdr>
          <w:divsChild>
            <w:div w:id="1704666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33828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hyperlink" Target="https://webgate.ec.europa.eu/dashboard/sense/app/a976d168-2023-41d8-acec-e77640154726/sheet/0c8af38b-b73c-4da2-ba41-73ea34ab7ac4/state/analysis/select/Country/Portugal" TargetMode="External"/><Relationship Id="rId21" Type="http://schemas.openxmlformats.org/officeDocument/2006/relationships/image" Target="media/image7.png"/><Relationship Id="rId34" Type="http://schemas.openxmlformats.org/officeDocument/2006/relationships/image" Target="media/image16.png"/><Relationship Id="rId42" Type="http://schemas.openxmlformats.org/officeDocument/2006/relationships/hyperlink" Target="https://www.utsystem.edu/offices/general-counsel/intellectual-property" TargetMode="External"/><Relationship Id="rId47" Type="http://schemas.openxmlformats.org/officeDocument/2006/relationships/image" Target="media/image20.png"/><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chart" Target="charts/chart3.xml"/><Relationship Id="rId29" Type="http://schemas.openxmlformats.org/officeDocument/2006/relationships/hyperlink" Target="https://worldwide.espacenet.com/" TargetMode="External"/><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image" Target="media/image14.png"/><Relationship Id="rId37" Type="http://schemas.openxmlformats.org/officeDocument/2006/relationships/hyperlink" Target="https://www.cmu.edu/policies/administrative-and-governance/intellectual-property.html" TargetMode="External"/><Relationship Id="rId40" Type="http://schemas.openxmlformats.org/officeDocument/2006/relationships/hyperlink" Target="https://www.wipo.int/technology-transfer/en/" TargetMode="External"/><Relationship Id="rId45" Type="http://schemas.openxmlformats.org/officeDocument/2006/relationships/image" Target="media/image18.png"/><Relationship Id="rId5" Type="http://schemas.openxmlformats.org/officeDocument/2006/relationships/numbering" Target="numbering.xml"/><Relationship Id="rId15" Type="http://schemas.openxmlformats.org/officeDocument/2006/relationships/chart" Target="charts/chart2.xml"/><Relationship Id="rId23" Type="http://schemas.openxmlformats.org/officeDocument/2006/relationships/image" Target="media/image9.png"/><Relationship Id="rId28" Type="http://schemas.openxmlformats.org/officeDocument/2006/relationships/hyperlink" Target="https://patentscope.wipo.int/" TargetMode="External"/><Relationship Id="rId36" Type="http://schemas.microsoft.com/office/2007/relationships/hdphoto" Target="media/hdphoto1.wdp"/><Relationship Id="rId49"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3.png"/><Relationship Id="rId44" Type="http://schemas.openxmlformats.org/officeDocument/2006/relationships/hyperlink" Target="https://www.eoi.es/blogs/imsd/innovation-what-is-open-innovatio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hart" Target="charts/chart1.xml"/><Relationship Id="rId22" Type="http://schemas.openxmlformats.org/officeDocument/2006/relationships/image" Target="media/image8.png"/><Relationship Id="rId27" Type="http://schemas.openxmlformats.org/officeDocument/2006/relationships/hyperlink" Target="https://www.epo.org/" TargetMode="External"/><Relationship Id="rId30" Type="http://schemas.openxmlformats.org/officeDocument/2006/relationships/hyperlink" Target="https://www.uspto.gov/patents-application-process/search-patents" TargetMode="External"/><Relationship Id="rId35" Type="http://schemas.openxmlformats.org/officeDocument/2006/relationships/image" Target="media/image17.png"/><Relationship Id="rId43" Type="http://schemas.openxmlformats.org/officeDocument/2006/relationships/hyperlink" Target="https://backlog.com/wp-blog-app/uploads/2020/01/burndown@2x.png" TargetMode="External"/><Relationship Id="rId48"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chart" Target="charts/chart4.xml"/><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hyperlink" Target="https://www.cmu.edu/cttec/cttec-process/index.html" TargetMode="External"/><Relationship Id="rId46" Type="http://schemas.openxmlformats.org/officeDocument/2006/relationships/image" Target="media/image19.png"/><Relationship Id="rId20" Type="http://schemas.openxmlformats.org/officeDocument/2006/relationships/image" Target="media/image6.png"/><Relationship Id="rId41" Type="http://schemas.openxmlformats.org/officeDocument/2006/relationships/hyperlink" Target="https://www.europarl.europa.eu/factsheets/en/sheet/66/policy-for-research-and-technological-development" TargetMode="External"/><Relationship Id="rId1" Type="http://schemas.openxmlformats.org/officeDocument/2006/relationships/customXml" Target="../customXml/item1.xml"/><Relationship Id="rId6"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3.png"/></Relationships>
</file>

<file path=word/_rels/footnotes.xml.rels><?xml version="1.0" encoding="UTF-8" standalone="yes"?>
<Relationships xmlns="http://schemas.openxmlformats.org/package/2006/relationships"><Relationship Id="rId8" Type="http://schemas.openxmlformats.org/officeDocument/2006/relationships/hyperlink" Target="https://clarivate.com/products/scientific-and-academic-research/research-discovery-and-workflow-solutions/webofscience-platform/" TargetMode="External"/><Relationship Id="rId13" Type="http://schemas.openxmlformats.org/officeDocument/2006/relationships/hyperlink" Target="https://www.angellist.com/" TargetMode="External"/><Relationship Id="rId18" Type="http://schemas.openxmlformats.org/officeDocument/2006/relationships/hyperlink" Target="https://www.gartner.com/reviews/market/competitive-and-market-intelligence-tools-for-technology-and-service-providers" TargetMode="External"/><Relationship Id="rId3" Type="http://schemas.openxmlformats.org/officeDocument/2006/relationships/hyperlink" Target="https://www.epo.org/searching-for-patents.html" TargetMode="External"/><Relationship Id="rId21" Type="http://schemas.openxmlformats.org/officeDocument/2006/relationships/hyperlink" Target="https://cipher.ai/" TargetMode="External"/><Relationship Id="rId7" Type="http://schemas.openxmlformats.org/officeDocument/2006/relationships/hyperlink" Target="https://www.scopus.com/home.uri" TargetMode="External"/><Relationship Id="rId12" Type="http://schemas.openxmlformats.org/officeDocument/2006/relationships/hyperlink" Target="https://www.crunchbase.com/" TargetMode="External"/><Relationship Id="rId17" Type="http://schemas.openxmlformats.org/officeDocument/2006/relationships/hyperlink" Target="https://www.cbinsights.com/" TargetMode="External"/><Relationship Id="rId2" Type="http://schemas.openxmlformats.org/officeDocument/2006/relationships/hyperlink" Target="https://patentscope.wipo.int/search/en/search.jsf" TargetMode="External"/><Relationship Id="rId16" Type="http://schemas.openxmlformats.org/officeDocument/2006/relationships/hyperlink" Target="https://www.ideaconnection.com/software/spigit-273.html" TargetMode="External"/><Relationship Id="rId20" Type="http://schemas.openxmlformats.org/officeDocument/2006/relationships/hyperlink" Target="https://www.ninesigma.com/" TargetMode="External"/><Relationship Id="rId1" Type="http://schemas.openxmlformats.org/officeDocument/2006/relationships/hyperlink" Target="https://www.uspto.gov/patents/search" TargetMode="External"/><Relationship Id="rId6" Type="http://schemas.openxmlformats.org/officeDocument/2006/relationships/hyperlink" Target="https://scholar.google.es/" TargetMode="External"/><Relationship Id="rId11" Type="http://schemas.openxmlformats.org/officeDocument/2006/relationships/hyperlink" Target="https://www.theverge.com/" TargetMode="External"/><Relationship Id="rId5" Type="http://schemas.openxmlformats.org/officeDocument/2006/relationships/hyperlink" Target="https://www.sciencedirect.com/" TargetMode="External"/><Relationship Id="rId15" Type="http://schemas.openxmlformats.org/officeDocument/2006/relationships/hyperlink" Target="https://www.brightidea.com/" TargetMode="External"/><Relationship Id="rId23" Type="http://schemas.openxmlformats.org/officeDocument/2006/relationships/hyperlink" Target="https://clarivate.com/products/ip-intelligence/patent-intelligence-software/innography/" TargetMode="External"/><Relationship Id="rId10" Type="http://schemas.openxmlformats.org/officeDocument/2006/relationships/hyperlink" Target="https://www.wired.com/" TargetMode="External"/><Relationship Id="rId19" Type="http://schemas.openxmlformats.org/officeDocument/2006/relationships/hyperlink" Target="https://www.wazoku.com/challenges/" TargetMode="External"/><Relationship Id="rId4" Type="http://schemas.openxmlformats.org/officeDocument/2006/relationships/hyperlink" Target="https://ieeexplore.ieee.org/Xplore/home.jsp" TargetMode="External"/><Relationship Id="rId9" Type="http://schemas.openxmlformats.org/officeDocument/2006/relationships/hyperlink" Target="https://techcrunch.com/" TargetMode="External"/><Relationship Id="rId14" Type="http://schemas.openxmlformats.org/officeDocument/2006/relationships/hyperlink" Target="https://ideascale.com/" TargetMode="External"/><Relationship Id="rId22" Type="http://schemas.openxmlformats.org/officeDocument/2006/relationships/hyperlink" Target="https://www.patsnap.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2.png"/><Relationship Id="rId1" Type="http://schemas.openxmlformats.org/officeDocument/2006/relationships/image" Target="media/image21.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https://clarkemodetcloud.sharepoint.com/sites/CRO/Consultancy/01%20CONS%201%20-%20Asesor&#237;a/1.6%20Formaci&#243;n/02.%20Proyectos/ANI%20PT/1%20TTOs%20CPS04/6%20Toolkit/Manual%20ANI%20-%20Dados%20-%20Cap.%204.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https://clarkemodetcloud.sharepoint.com/sites/CRO/Consultancy/01%20CONS%201%20-%20Asesor&#237;a/1.6%20Formaci&#243;n/02.%20Proyectos/ANI%20PT/1%20TTOs%20CPS04/6%20Toolkit/Manual%20ANI%20-%20Dados%20-%20Cap.%204.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https://clarkemodetcloud.sharepoint.com/sites/CRO/Consultancy/01%20CONS%201%20-%20Asesor&#237;a/1.6%20Formaci&#243;n/02.%20Proyectos/ANI%20PT/1%20TTOs%20CPS04/6%20Toolkit/Manual%20ANI%20-%20Dados%20-%20Cap.%204.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https://clarkemodetcloud.sharepoint.com/sites/CRO/Consultancy/01%20CONS%201%20-%20Asesor&#237;a/1.6%20Formaci&#243;n/02.%20Proyectos/ANI%20PT/1%20TTOs%20CPS04/6%20Toolkit/Manual%20ANI%20-%20Dados%20-%20Cap.%20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P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Verdana" panose="020B0604030504040204" pitchFamily="34" charset="0"/>
                <a:ea typeface="Verdana" panose="020B0604030504040204" pitchFamily="34" charset="0"/>
                <a:cs typeface="+mn-cs"/>
              </a:defRPr>
            </a:pPr>
            <a:r>
              <a:rPr lang="en-US" sz="1000" b="1"/>
              <a:t>Notificações de invenção (2015-2021)</a:t>
            </a:r>
          </a:p>
        </c:rich>
      </c:tx>
      <c:overlay val="0"/>
      <c:spPr>
        <a:noFill/>
        <a:ln>
          <a:noFill/>
        </a:ln>
        <a:effectLst/>
      </c:spPr>
      <c:txPr>
        <a:bodyPr rot="0" spcFirstLastPara="1" vertOverflow="ellipsis" vert="horz" wrap="square" anchor="ctr" anchorCtr="1"/>
        <a:lstStyle/>
        <a:p>
          <a:pPr>
            <a:defRPr sz="1000" b="1" i="0" u="none" strike="noStrike" kern="1200" spc="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pt-PT"/>
        </a:p>
      </c:txPr>
    </c:title>
    <c:autoTitleDeleted val="0"/>
    <c:plotArea>
      <c:layout>
        <c:manualLayout>
          <c:layoutTarget val="inner"/>
          <c:xMode val="edge"/>
          <c:yMode val="edge"/>
          <c:x val="0.12249400479616307"/>
          <c:y val="0.25081223841398342"/>
          <c:w val="0.84233413269384494"/>
          <c:h val="0.59079709040117645"/>
        </c:manualLayout>
      </c:layout>
      <c:barChart>
        <c:barDir val="col"/>
        <c:grouping val="clustered"/>
        <c:varyColors val="0"/>
        <c:ser>
          <c:idx val="0"/>
          <c:order val="0"/>
          <c:tx>
            <c:strRef>
              <c:f>'Univ. US'!$B$3</c:f>
              <c:strCache>
                <c:ptCount val="1"/>
                <c:pt idx="0">
                  <c:v>Invention Disclosures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Verdana" panose="020B0604030504040204" pitchFamily="34" charset="0"/>
                    <a:ea typeface="Verdana" panose="020B0604030504040204" pitchFamily="34" charset="0"/>
                    <a:cs typeface="+mn-cs"/>
                  </a:defRPr>
                </a:pPr>
                <a:endParaRPr lang="pt-P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'Univ. US'!$A$4:$A$6</c:f>
              <c:strCache>
                <c:ptCount val="3"/>
                <c:pt idx="0">
                  <c:v>M.I.T.</c:v>
                </c:pt>
                <c:pt idx="1">
                  <c:v>C.M.U.</c:v>
                </c:pt>
                <c:pt idx="2">
                  <c:v>Univ. of Texas</c:v>
                </c:pt>
              </c:strCache>
            </c:strRef>
          </c:cat>
          <c:val>
            <c:numRef>
              <c:f>'Univ. US'!$B$4:$B$6</c:f>
              <c:numCache>
                <c:formatCode>#,##0</c:formatCode>
                <c:ptCount val="3"/>
                <c:pt idx="0">
                  <c:v>5602</c:v>
                </c:pt>
                <c:pt idx="1">
                  <c:v>2218</c:v>
                </c:pt>
                <c:pt idx="2">
                  <c:v>2702</c:v>
                </c:pt>
              </c:numCache>
            </c:numRef>
          </c:val>
          <c:extLst>
            <c:ext xmlns:c16="http://schemas.microsoft.com/office/drawing/2014/chart" uri="{C3380CC4-5D6E-409C-BE32-E72D297353CC}">
              <c16:uniqueId val="{00000000-4ED2-4169-BDD1-78A67ECF2366}"/>
            </c:ext>
          </c:extLst>
        </c:ser>
        <c:dLbls>
          <c:showLegendKey val="0"/>
          <c:showVal val="0"/>
          <c:showCatName val="0"/>
          <c:showSerName val="0"/>
          <c:showPercent val="0"/>
          <c:showBubbleSize val="0"/>
        </c:dLbls>
        <c:gapWidth val="219"/>
        <c:overlap val="-27"/>
        <c:axId val="408880784"/>
        <c:axId val="925051936"/>
      </c:barChart>
      <c:catAx>
        <c:axId val="408880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pt-PT"/>
          </a:p>
        </c:txPr>
        <c:crossAx val="925051936"/>
        <c:crosses val="autoZero"/>
        <c:auto val="1"/>
        <c:lblAlgn val="ctr"/>
        <c:lblOffset val="100"/>
        <c:noMultiLvlLbl val="0"/>
      </c:catAx>
      <c:valAx>
        <c:axId val="925051936"/>
        <c:scaling>
          <c:orientation val="minMax"/>
        </c:scaling>
        <c:delete val="1"/>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r>
                  <a:rPr lang="pt-BR"/>
                  <a:t>Número de </a:t>
                </a:r>
              </a:p>
              <a:p>
                <a:pPr>
                  <a:defRPr/>
                </a:pPr>
                <a:r>
                  <a:rPr lang="pt-BR"/>
                  <a:t>notificações</a:t>
                </a:r>
              </a:p>
            </c:rich>
          </c:tx>
          <c:layout>
            <c:manualLayout>
              <c:xMode val="edge"/>
              <c:yMode val="edge"/>
              <c:x val="3.5171862509992005E-2"/>
              <c:y val="0.29457130631937717"/>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pt-PT"/>
            </a:p>
          </c:txPr>
        </c:title>
        <c:numFmt formatCode="#,##0" sourceLinked="1"/>
        <c:majorTickMark val="none"/>
        <c:minorTickMark val="none"/>
        <c:tickLblPos val="nextTo"/>
        <c:crossAx val="40888078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00">
          <a:latin typeface="Verdana" panose="020B0604030504040204" pitchFamily="34" charset="0"/>
          <a:ea typeface="Verdana" panose="020B0604030504040204" pitchFamily="34" charset="0"/>
        </a:defRPr>
      </a:pPr>
      <a:endParaRPr lang="pt-PT"/>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P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Verdana" panose="020B0604030504040204" pitchFamily="34" charset="0"/>
                <a:ea typeface="Verdana" panose="020B0604030504040204" pitchFamily="34" charset="0"/>
                <a:cs typeface="+mn-cs"/>
              </a:defRPr>
            </a:pPr>
            <a:r>
              <a:rPr lang="pt-BR" sz="1000" b="1"/>
              <a:t>Acordos</a:t>
            </a:r>
            <a:r>
              <a:rPr lang="pt-BR" sz="1000" b="1" baseline="0"/>
              <a:t> de licenciamento</a:t>
            </a:r>
            <a:r>
              <a:rPr lang="pt-BR" sz="1000" b="1"/>
              <a:t> e afins (2015-2021)</a:t>
            </a:r>
          </a:p>
        </c:rich>
      </c:tx>
      <c:overlay val="0"/>
      <c:spPr>
        <a:noFill/>
        <a:ln>
          <a:noFill/>
        </a:ln>
        <a:effectLst/>
      </c:spPr>
      <c:txPr>
        <a:bodyPr rot="0" spcFirstLastPara="1" vertOverflow="ellipsis" vert="horz" wrap="square" anchor="ctr" anchorCtr="1"/>
        <a:lstStyle/>
        <a:p>
          <a:pPr>
            <a:defRPr sz="1000" b="1" i="0" u="none" strike="noStrike" kern="1200" spc="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pt-PT"/>
        </a:p>
      </c:txPr>
    </c:title>
    <c:autoTitleDeleted val="0"/>
    <c:plotArea>
      <c:layout>
        <c:manualLayout>
          <c:layoutTarget val="inner"/>
          <c:xMode val="edge"/>
          <c:yMode val="edge"/>
          <c:x val="8.3629222606167036E-2"/>
          <c:y val="0.24770026246719157"/>
          <c:w val="0.88119891488384094"/>
          <c:h val="0.58324409448818892"/>
        </c:manualLayout>
      </c:layout>
      <c:barChart>
        <c:barDir val="col"/>
        <c:grouping val="clustered"/>
        <c:varyColors val="0"/>
        <c:ser>
          <c:idx val="0"/>
          <c:order val="0"/>
          <c:tx>
            <c:strRef>
              <c:f>'Univ. US'!$D$3</c:f>
              <c:strCache>
                <c:ptCount val="1"/>
                <c:pt idx="0">
                  <c:v>Licenses &amp; Options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Verdana" panose="020B0604030504040204" pitchFamily="34" charset="0"/>
                    <a:ea typeface="Verdana" panose="020B0604030504040204" pitchFamily="34" charset="0"/>
                    <a:cs typeface="+mn-cs"/>
                  </a:defRPr>
                </a:pPr>
                <a:endParaRPr lang="pt-P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'Univ. US'!$A$4:$A$6</c:f>
              <c:strCache>
                <c:ptCount val="3"/>
                <c:pt idx="0">
                  <c:v>M.I.T.</c:v>
                </c:pt>
                <c:pt idx="1">
                  <c:v>C.M.U.</c:v>
                </c:pt>
                <c:pt idx="2">
                  <c:v>Univ. of Texas</c:v>
                </c:pt>
              </c:strCache>
            </c:strRef>
          </c:cat>
          <c:val>
            <c:numRef>
              <c:f>'Univ. US'!$D$4:$D$6</c:f>
              <c:numCache>
                <c:formatCode>#,##0</c:formatCode>
                <c:ptCount val="3"/>
                <c:pt idx="0">
                  <c:v>1040</c:v>
                </c:pt>
                <c:pt idx="1">
                  <c:v>1419</c:v>
                </c:pt>
                <c:pt idx="2">
                  <c:v>884</c:v>
                </c:pt>
              </c:numCache>
            </c:numRef>
          </c:val>
          <c:extLst>
            <c:ext xmlns:c16="http://schemas.microsoft.com/office/drawing/2014/chart" uri="{C3380CC4-5D6E-409C-BE32-E72D297353CC}">
              <c16:uniqueId val="{00000000-6458-412B-952D-B57C13CDD274}"/>
            </c:ext>
          </c:extLst>
        </c:ser>
        <c:dLbls>
          <c:showLegendKey val="0"/>
          <c:showVal val="0"/>
          <c:showCatName val="0"/>
          <c:showSerName val="0"/>
          <c:showPercent val="0"/>
          <c:showBubbleSize val="0"/>
        </c:dLbls>
        <c:gapWidth val="219"/>
        <c:overlap val="-27"/>
        <c:axId val="1703804048"/>
        <c:axId val="1993634832"/>
      </c:barChart>
      <c:catAx>
        <c:axId val="17038040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pt-PT"/>
          </a:p>
        </c:txPr>
        <c:crossAx val="1993634832"/>
        <c:crosses val="autoZero"/>
        <c:auto val="1"/>
        <c:lblAlgn val="ctr"/>
        <c:lblOffset val="100"/>
        <c:noMultiLvlLbl val="0"/>
      </c:catAx>
      <c:valAx>
        <c:axId val="1993634832"/>
        <c:scaling>
          <c:orientation val="minMax"/>
        </c:scaling>
        <c:delete val="1"/>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r>
                  <a:rPr lang="pt-BR"/>
                  <a:t>Nº de acordos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pt-PT"/>
            </a:p>
          </c:txPr>
        </c:title>
        <c:numFmt formatCode="#,##0" sourceLinked="1"/>
        <c:majorTickMark val="none"/>
        <c:minorTickMark val="none"/>
        <c:tickLblPos val="nextTo"/>
        <c:crossAx val="170380404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00">
          <a:latin typeface="Verdana" panose="020B0604030504040204" pitchFamily="34" charset="0"/>
          <a:ea typeface="Verdana" panose="020B0604030504040204" pitchFamily="34" charset="0"/>
        </a:defRPr>
      </a:pPr>
      <a:endParaRPr lang="pt-PT"/>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P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Verdana" panose="020B0604030504040204" pitchFamily="34" charset="0"/>
                <a:ea typeface="Verdana" panose="020B0604030504040204" pitchFamily="34" charset="0"/>
                <a:cs typeface="+mn-cs"/>
              </a:defRPr>
            </a:pPr>
            <a:r>
              <a:rPr lang="en-US" sz="1000" b="1"/>
              <a:t>Criação de </a:t>
            </a:r>
            <a:r>
              <a:rPr lang="en-US" sz="1000" b="1" i="1"/>
              <a:t>spin-offs</a:t>
            </a:r>
            <a:r>
              <a:rPr lang="en-US" sz="1000" b="1"/>
              <a:t> (2015-2021)</a:t>
            </a:r>
          </a:p>
        </c:rich>
      </c:tx>
      <c:overlay val="0"/>
      <c:spPr>
        <a:noFill/>
        <a:ln>
          <a:noFill/>
        </a:ln>
        <a:effectLst/>
      </c:spPr>
      <c:txPr>
        <a:bodyPr rot="0" spcFirstLastPara="1" vertOverflow="ellipsis" vert="horz" wrap="square" anchor="ctr" anchorCtr="1"/>
        <a:lstStyle/>
        <a:p>
          <a:pPr>
            <a:defRPr sz="1000" b="1" i="0" u="none" strike="noStrike" kern="1200" spc="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pt-PT"/>
        </a:p>
      </c:txPr>
    </c:title>
    <c:autoTitleDeleted val="0"/>
    <c:plotArea>
      <c:layout/>
      <c:barChart>
        <c:barDir val="col"/>
        <c:grouping val="clustered"/>
        <c:varyColors val="0"/>
        <c:ser>
          <c:idx val="0"/>
          <c:order val="0"/>
          <c:tx>
            <c:strRef>
              <c:f>'Univ. US'!$C$3</c:f>
              <c:strCache>
                <c:ptCount val="1"/>
                <c:pt idx="0">
                  <c:v>New Spin-Off Companies Created</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Verdana" panose="020B0604030504040204" pitchFamily="34" charset="0"/>
                    <a:ea typeface="Verdana" panose="020B0604030504040204" pitchFamily="34" charset="0"/>
                    <a:cs typeface="+mn-cs"/>
                  </a:defRPr>
                </a:pPr>
                <a:endParaRPr lang="pt-P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'Univ. US'!$A$4:$A$6</c:f>
              <c:strCache>
                <c:ptCount val="3"/>
                <c:pt idx="0">
                  <c:v>M.I.T.</c:v>
                </c:pt>
                <c:pt idx="1">
                  <c:v>C.M.U.</c:v>
                </c:pt>
                <c:pt idx="2">
                  <c:v>Univ. of Texas</c:v>
                </c:pt>
              </c:strCache>
            </c:strRef>
          </c:cat>
          <c:val>
            <c:numRef>
              <c:f>'Univ. US'!$C$4:$C$6</c:f>
              <c:numCache>
                <c:formatCode>General</c:formatCode>
                <c:ptCount val="3"/>
                <c:pt idx="0">
                  <c:v>191</c:v>
                </c:pt>
                <c:pt idx="1">
                  <c:v>61</c:v>
                </c:pt>
                <c:pt idx="2">
                  <c:v>125</c:v>
                </c:pt>
              </c:numCache>
            </c:numRef>
          </c:val>
          <c:extLst>
            <c:ext xmlns:c16="http://schemas.microsoft.com/office/drawing/2014/chart" uri="{C3380CC4-5D6E-409C-BE32-E72D297353CC}">
              <c16:uniqueId val="{00000000-8D6C-499D-BE05-F37FE9212B58}"/>
            </c:ext>
          </c:extLst>
        </c:ser>
        <c:dLbls>
          <c:showLegendKey val="0"/>
          <c:showVal val="0"/>
          <c:showCatName val="0"/>
          <c:showSerName val="0"/>
          <c:showPercent val="0"/>
          <c:showBubbleSize val="0"/>
        </c:dLbls>
        <c:gapWidth val="219"/>
        <c:overlap val="-27"/>
        <c:axId val="1703807760"/>
        <c:axId val="1993623792"/>
      </c:barChart>
      <c:catAx>
        <c:axId val="1703807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pt-PT"/>
          </a:p>
        </c:txPr>
        <c:crossAx val="1993623792"/>
        <c:crosses val="autoZero"/>
        <c:auto val="1"/>
        <c:lblAlgn val="ctr"/>
        <c:lblOffset val="100"/>
        <c:noMultiLvlLbl val="0"/>
      </c:catAx>
      <c:valAx>
        <c:axId val="1993623792"/>
        <c:scaling>
          <c:orientation val="minMax"/>
        </c:scaling>
        <c:delete val="1"/>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r>
                  <a:rPr lang="pt-BR"/>
                  <a:t>Nº de spin-offs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pt-PT"/>
            </a:p>
          </c:txPr>
        </c:title>
        <c:numFmt formatCode="General" sourceLinked="1"/>
        <c:majorTickMark val="none"/>
        <c:minorTickMark val="none"/>
        <c:tickLblPos val="nextTo"/>
        <c:crossAx val="170380776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00">
          <a:latin typeface="Verdana" panose="020B0604030504040204" pitchFamily="34" charset="0"/>
          <a:ea typeface="Verdana" panose="020B0604030504040204" pitchFamily="34" charset="0"/>
        </a:defRPr>
      </a:pPr>
      <a:endParaRPr lang="pt-PT"/>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P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Verdana" panose="020B0604030504040204" pitchFamily="34" charset="0"/>
                <a:ea typeface="Verdana" panose="020B0604030504040204" pitchFamily="34" charset="0"/>
                <a:cs typeface="+mn-cs"/>
              </a:defRPr>
            </a:pPr>
            <a:r>
              <a:rPr lang="en-US" sz="1000" b="1"/>
              <a:t>Receitas de licenciamento (2015-2021)</a:t>
            </a:r>
          </a:p>
        </c:rich>
      </c:tx>
      <c:overlay val="0"/>
      <c:spPr>
        <a:noFill/>
        <a:ln>
          <a:noFill/>
        </a:ln>
        <a:effectLst/>
      </c:spPr>
      <c:txPr>
        <a:bodyPr rot="0" spcFirstLastPara="1" vertOverflow="ellipsis" vert="horz" wrap="square" anchor="ctr" anchorCtr="1"/>
        <a:lstStyle/>
        <a:p>
          <a:pPr>
            <a:defRPr sz="1000" b="1" i="0" u="none" strike="noStrike" kern="1200" spc="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pt-PT"/>
        </a:p>
      </c:txPr>
    </c:title>
    <c:autoTitleDeleted val="0"/>
    <c:plotArea>
      <c:layout/>
      <c:barChart>
        <c:barDir val="col"/>
        <c:grouping val="clustered"/>
        <c:varyColors val="0"/>
        <c:ser>
          <c:idx val="0"/>
          <c:order val="0"/>
          <c:tx>
            <c:strRef>
              <c:f>'Univ. US'!$E$3</c:f>
              <c:strCache>
                <c:ptCount val="1"/>
                <c:pt idx="0">
                  <c:v>Income from Licensing ($ M)</c:v>
                </c:pt>
              </c:strCache>
            </c:strRef>
          </c:tx>
          <c:spPr>
            <a:solidFill>
              <a:schemeClr val="accent1"/>
            </a:solidFill>
            <a:ln>
              <a:noFill/>
            </a:ln>
            <a:effectLst/>
          </c:spPr>
          <c:invertIfNegative val="0"/>
          <c:dLbls>
            <c:numFmt formatCode="[$$-409]#,##0.0" sourceLinked="0"/>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Verdana" panose="020B0604030504040204" pitchFamily="34" charset="0"/>
                    <a:ea typeface="Verdana" panose="020B0604030504040204" pitchFamily="34" charset="0"/>
                    <a:cs typeface="+mn-cs"/>
                  </a:defRPr>
                </a:pPr>
                <a:endParaRPr lang="pt-P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'Univ. US'!$A$4:$A$6</c:f>
              <c:strCache>
                <c:ptCount val="3"/>
                <c:pt idx="0">
                  <c:v>M.I.T.</c:v>
                </c:pt>
                <c:pt idx="1">
                  <c:v>C.M.U.</c:v>
                </c:pt>
                <c:pt idx="2">
                  <c:v>Univ. of Texas</c:v>
                </c:pt>
              </c:strCache>
            </c:strRef>
          </c:cat>
          <c:val>
            <c:numRef>
              <c:f>'Univ. US'!$E$4:$E$6</c:f>
              <c:numCache>
                <c:formatCode>_-[$$-409]* #,##0.00_ ;_-[$$-409]* \-#,##0.00\ ;_-[$$-409]* "-"??_ ;_-@_ </c:formatCode>
                <c:ptCount val="3"/>
                <c:pt idx="0">
                  <c:v>402.31000000000006</c:v>
                </c:pt>
                <c:pt idx="1">
                  <c:v>90.250000000000014</c:v>
                </c:pt>
                <c:pt idx="2">
                  <c:v>136.428021</c:v>
                </c:pt>
              </c:numCache>
            </c:numRef>
          </c:val>
          <c:extLst>
            <c:ext xmlns:c16="http://schemas.microsoft.com/office/drawing/2014/chart" uri="{C3380CC4-5D6E-409C-BE32-E72D297353CC}">
              <c16:uniqueId val="{00000000-B6CC-4A16-835C-FFC68EB3861C}"/>
            </c:ext>
          </c:extLst>
        </c:ser>
        <c:dLbls>
          <c:showLegendKey val="0"/>
          <c:showVal val="0"/>
          <c:showCatName val="0"/>
          <c:showSerName val="0"/>
          <c:showPercent val="0"/>
          <c:showBubbleSize val="0"/>
        </c:dLbls>
        <c:gapWidth val="219"/>
        <c:overlap val="-27"/>
        <c:axId val="218409807"/>
        <c:axId val="2130306944"/>
      </c:barChart>
      <c:catAx>
        <c:axId val="2184098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pt-PT"/>
          </a:p>
        </c:txPr>
        <c:crossAx val="2130306944"/>
        <c:crosses val="autoZero"/>
        <c:auto val="1"/>
        <c:lblAlgn val="ctr"/>
        <c:lblOffset val="100"/>
        <c:noMultiLvlLbl val="0"/>
      </c:catAx>
      <c:valAx>
        <c:axId val="2130306944"/>
        <c:scaling>
          <c:orientation val="minMax"/>
        </c:scaling>
        <c:delete val="1"/>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r>
                  <a:rPr lang="pt-BR"/>
                  <a:t>Receita (USD 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pt-PT"/>
            </a:p>
          </c:txPr>
        </c:title>
        <c:numFmt formatCode="_-[$$-409]* #,##0.0_ ;_-[$$-409]* \-#,##0.0\ ;_-[$$-409]* &quot;-&quot;?_ ;_-@_ " sourceLinked="0"/>
        <c:majorTickMark val="none"/>
        <c:minorTickMark val="none"/>
        <c:tickLblPos val="nextTo"/>
        <c:crossAx val="21840980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00">
          <a:latin typeface="Verdana" panose="020B0604030504040204" pitchFamily="34" charset="0"/>
          <a:ea typeface="Verdana" panose="020B0604030504040204" pitchFamily="34" charset="0"/>
        </a:defRPr>
      </a:pPr>
      <a:endParaRPr lang="pt-PT"/>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Clarke Word">
  <a:themeElements>
    <a:clrScheme name="CLARKE MODET">
      <a:dk1>
        <a:srgbClr val="4B4F54"/>
      </a:dk1>
      <a:lt1>
        <a:sysClr val="window" lastClr="FFFFFF"/>
      </a:lt1>
      <a:dk2>
        <a:srgbClr val="FF0166"/>
      </a:dk2>
      <a:lt2>
        <a:srgbClr val="FFFFFF"/>
      </a:lt2>
      <a:accent1>
        <a:srgbClr val="FF0166"/>
      </a:accent1>
      <a:accent2>
        <a:srgbClr val="0033FF"/>
      </a:accent2>
      <a:accent3>
        <a:srgbClr val="FF3EB5"/>
      </a:accent3>
      <a:accent4>
        <a:srgbClr val="7F7F7F"/>
      </a:accent4>
      <a:accent5>
        <a:srgbClr val="AEABAB"/>
      </a:accent5>
      <a:accent6>
        <a:srgbClr val="D0CECE"/>
      </a:accent6>
      <a:hlink>
        <a:srgbClr val="0033FF"/>
      </a:hlink>
      <a:folHlink>
        <a:srgbClr val="0033FF"/>
      </a:folHlink>
    </a:clrScheme>
    <a:fontScheme name="CLARKE MODET">
      <a:majorFont>
        <a:latin typeface="Georgia"/>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Clarke" id="{77D62C40-6FBF-4276-B736-FEFD73A26430}" vid="{5FC97428-B5A6-4287-98BC-1E9EDC3DDDB8}"/>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158C1AA7B0D20746B125D022BB61636A" ma:contentTypeVersion="13" ma:contentTypeDescription="Criar um novo documento." ma:contentTypeScope="" ma:versionID="9cf42649c713dd498c1cbe88f20a22a3">
  <xsd:schema xmlns:xsd="http://www.w3.org/2001/XMLSchema" xmlns:xs="http://www.w3.org/2001/XMLSchema" xmlns:p="http://schemas.microsoft.com/office/2006/metadata/properties" xmlns:ns2="1f7b5c5b-6685-420f-9f27-dbee11aa0727" xmlns:ns3="0b2f10f9-1c71-4d4c-bdd4-26b8ec8e5ef9" xmlns:ns4="1f7b5c5b-6685-420f-9f27-dbee11aa0727" targetNamespace="http://schemas.microsoft.com/office/2006/metadata/properties" ma:root="true" ma:fieldsID="eac3233af70f9423176c875e2d6c2427" ns4:_="" ns3:_="">
    <xsd:import namespace="1f7b5c5b-6685-420f-9f27-dbee11aa0727"/>
    <xsd:import namespace="0b2f10f9-1c71-4d4c-bdd4-26b8ec8e5ef9"/>
    <xsd:import namespace="1f7b5c5b-6685-420f-9f27-dbee11aa0727"/>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lcf76f155ced4ddcb4097134ff3c332f" minOccurs="0"/>
                <xsd:element ref="ns4:TaxCatchAll" minOccurs="0"/>
                <xsd:element ref="ns3:MediaServiceDateTaken" minOccurs="0"/>
                <xsd:element ref="ns3:MediaServiceGenerationTime" minOccurs="0"/>
                <xsd:element ref="ns3:MediaServiceEventHashCode" minOccurs="0"/>
                <xsd:element ref="ns3:MediaServiceOCR"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f7b5c5b-6685-420f-9f27-dbee11aa0727" elementFormDefault="qualified">
    <xsd:import namespace="http://schemas.microsoft.com/office/2006/documentManagement/types"/>
    <xsd:import namespace="http://schemas.microsoft.com/office/infopath/2007/PartnerControls"/>
    <xsd:element name="SharedWithUsers" ma:index="8" nillable="true" ma:displayName="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hes de Partilhado Com"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2f10f9-1c71-4d4c-bdd4-26b8ec8e5ef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m" ma:readOnly="false" ma:fieldId="{5cf76f15-5ced-4ddc-b409-7134ff3c332f}" ma:taxonomyMulti="true" ma:sspId="a05f44b6-7a62-4855-825d-0d4ca26077ce"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f7b5c5b-6685-420f-9f27-dbee11aa0727"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9d57d6ef-7b77-4c87-a545-256f788ffcd8}" ma:internalName="TaxCatchAll" ma:showField="CatchAllData" ma:web="1f7b5c5b-6685-420f-9f27-dbee11aa072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b2f10f9-1c71-4d4c-bdd4-26b8ec8e5ef9">
      <Terms xmlns="http://schemas.microsoft.com/office/infopath/2007/PartnerControls"/>
    </lcf76f155ced4ddcb4097134ff3c332f>
    <TaxCatchAll xmlns="1f7b5c5b-6685-420f-9f27-dbee11aa0727"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88FD3F4-2200-48B0-8438-EED83CC453D3}">
  <ds:schemaRefs>
    <ds:schemaRef ds:uri="http://schemas.openxmlformats.org/officeDocument/2006/bibliography"/>
  </ds:schemaRefs>
</ds:datastoreItem>
</file>

<file path=customXml/itemProps2.xml><?xml version="1.0" encoding="utf-8"?>
<ds:datastoreItem xmlns:ds="http://schemas.openxmlformats.org/officeDocument/2006/customXml" ds:itemID="{4F246A9B-8A5D-45A3-BACE-EAA54893A88A}"/>
</file>

<file path=customXml/itemProps3.xml><?xml version="1.0" encoding="utf-8"?>
<ds:datastoreItem xmlns:ds="http://schemas.openxmlformats.org/officeDocument/2006/customXml" ds:itemID="{C67F3A3C-5014-43F8-8914-7ACF6A68F6CF}">
  <ds:schemaRefs>
    <ds:schemaRef ds:uri="http://schemas.microsoft.com/office/2006/metadata/properties"/>
    <ds:schemaRef ds:uri="http://schemas.microsoft.com/office/infopath/2007/PartnerControls"/>
    <ds:schemaRef ds:uri="59033032-f10e-4588-99df-59f2ecf1f92b"/>
    <ds:schemaRef ds:uri="d20a92da-8cca-41db-a574-844315bc4705"/>
  </ds:schemaRefs>
</ds:datastoreItem>
</file>

<file path=customXml/itemProps4.xml><?xml version="1.0" encoding="utf-8"?>
<ds:datastoreItem xmlns:ds="http://schemas.openxmlformats.org/officeDocument/2006/customXml" ds:itemID="{EA1EE959-5BCC-4414-A5B6-F3AD9250016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64</Pages>
  <Words>19322</Words>
  <Characters>104340</Characters>
  <Application>Microsoft Office Word</Application>
  <DocSecurity>0</DocSecurity>
  <Lines>869</Lines>
  <Paragraphs>246</Paragraphs>
  <ScaleCrop>false</ScaleCrop>
  <Company>Clarke,Modet &amp; Cº</Company>
  <LinksUpToDate>false</LinksUpToDate>
  <CharactersWithSpaces>123416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ClarkeModet</dc:creator>
  <cp:keywords>, docId:0209F9995D7BAD23B53E58F2B97E7BA7</cp:keywords>
  <cp:lastModifiedBy>Adriana Esteves</cp:lastModifiedBy>
  <cp:revision>23</cp:revision>
  <cp:lastPrinted>2023-06-23T12:55:00Z</cp:lastPrinted>
  <dcterms:created xsi:type="dcterms:W3CDTF">2023-06-22T18:10:00Z</dcterms:created>
  <dcterms:modified xsi:type="dcterms:W3CDTF">2023-06-23T12:56:00Z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0x010100158C1AA7B0D20746B125D022BB61636A</vt:lpwstr>
  </property>
  <property fmtid="{D5CDD505-2E9C-101B-9397-08002B2CF9AE}" pid="3" name="AuthorIds_UIVersion_512">
    <vt:lpwstr>522</vt:lpwstr>
  </property>
  <property fmtid="{D5CDD505-2E9C-101B-9397-08002B2CF9AE}" pid="4" name="MSIP_Label_fee33e6c-c7a9-4821-89e4-4a7088ea635b_Enabled">
    <vt:lpwstr>True</vt:lpwstr>
  </property>
  <property fmtid="{D5CDD505-2E9C-101B-9397-08002B2CF9AE}" pid="5" name="MSIP_Label_fee33e6c-c7a9-4821-89e4-4a7088ea635b_SiteId">
    <vt:lpwstr>b234bc80-a99d-4a47-8071-62b90ee1479b</vt:lpwstr>
  </property>
  <property fmtid="{D5CDD505-2E9C-101B-9397-08002B2CF9AE}" pid="6" name="MSIP_Label_fee33e6c-c7a9-4821-89e4-4a7088ea635b_Owner">
    <vt:lpwstr>AEsteves@clarkemodet.com.pt</vt:lpwstr>
  </property>
  <property fmtid="{D5CDD505-2E9C-101B-9397-08002B2CF9AE}" pid="7" name="MSIP_Label_fee33e6c-c7a9-4821-89e4-4a7088ea635b_SetDate">
    <vt:lpwstr>2020-03-17T17:47:42.2673087Z</vt:lpwstr>
  </property>
  <property fmtid="{D5CDD505-2E9C-101B-9397-08002B2CF9AE}" pid="8" name="MSIP_Label_fee33e6c-c7a9-4821-89e4-4a7088ea635b_Name">
    <vt:lpwstr>Confidencial</vt:lpwstr>
  </property>
  <property fmtid="{D5CDD505-2E9C-101B-9397-08002B2CF9AE}" pid="9" name="MSIP_Label_fee33e6c-c7a9-4821-89e4-4a7088ea635b_Application">
    <vt:lpwstr>Microsoft Azure Information Protection</vt:lpwstr>
  </property>
  <property fmtid="{D5CDD505-2E9C-101B-9397-08002B2CF9AE}" pid="10" name="MSIP_Label_fee33e6c-c7a9-4821-89e4-4a7088ea635b_ActionId">
    <vt:lpwstr>0ed3e862-0841-463f-b25e-2a2cc621ffef</vt:lpwstr>
  </property>
  <property fmtid="{D5CDD505-2E9C-101B-9397-08002B2CF9AE}" pid="11" name="MSIP_Label_fee33e6c-c7a9-4821-89e4-4a7088ea635b_Extended_MSFT_Method">
    <vt:lpwstr>Automatic</vt:lpwstr>
  </property>
  <property fmtid="{D5CDD505-2E9C-101B-9397-08002B2CF9AE}" pid="12" name="Sensitivity">
    <vt:lpwstr>Confidencial</vt:lpwstr>
  </property>
  <property fmtid="{D5CDD505-2E9C-101B-9397-08002B2CF9AE}" pid="13" name="MediaServiceImageTags">
    <vt:lpwstr/>
  </property>
</Properties>
</file>